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7FA9" w14:textId="77777777" w:rsidR="004C16AA" w:rsidRPr="004C16AA" w:rsidRDefault="004C16AA" w:rsidP="004C16AA">
      <w:pPr>
        <w:shd w:val="clear" w:color="auto" w:fill="FFFFFF"/>
        <w:spacing w:after="100" w:afterAutospacing="1" w:line="240" w:lineRule="auto"/>
        <w:outlineLvl w:val="0"/>
        <w:rPr>
          <w:rFonts w:ascii="Arial" w:eastAsia="Times New Roman" w:hAnsi="Arial" w:cs="Arial"/>
          <w:b/>
          <w:bCs/>
          <w:color w:val="000000"/>
          <w:kern w:val="36"/>
          <w:sz w:val="48"/>
          <w:szCs w:val="48"/>
          <w:lang w:val="en-US" w:eastAsia="fi-FI"/>
        </w:rPr>
      </w:pPr>
      <w:r w:rsidRPr="004C16AA">
        <w:rPr>
          <w:rFonts w:ascii="Arial" w:eastAsia="Times New Roman" w:hAnsi="Arial" w:cs="Arial"/>
          <w:b/>
          <w:bCs/>
          <w:color w:val="000000"/>
          <w:kern w:val="36"/>
          <w:sz w:val="48"/>
          <w:szCs w:val="48"/>
          <w:lang w:val="en-US" w:eastAsia="fi-FI"/>
        </w:rPr>
        <w:t>Employers’ contributions 2022</w:t>
      </w:r>
    </w:p>
    <w:p w14:paraId="4A3465E3" w14:textId="77777777" w:rsidR="004C16AA" w:rsidRPr="004C16AA" w:rsidRDefault="004C16AA" w:rsidP="004C16AA">
      <w:pPr>
        <w:shd w:val="clear" w:color="auto" w:fill="FFFFFF"/>
        <w:spacing w:after="100" w:afterAutospacing="1" w:line="240" w:lineRule="auto"/>
        <w:rPr>
          <w:rFonts w:ascii="Arial" w:eastAsia="Times New Roman" w:hAnsi="Arial" w:cs="Arial"/>
          <w:color w:val="000000"/>
          <w:sz w:val="24"/>
          <w:szCs w:val="24"/>
          <w:lang w:val="en-US" w:eastAsia="fi-FI"/>
        </w:rPr>
      </w:pPr>
      <w:r w:rsidRPr="004C16AA">
        <w:rPr>
          <w:rFonts w:ascii="Arial" w:eastAsia="Times New Roman" w:hAnsi="Arial" w:cs="Arial"/>
          <w:color w:val="000000"/>
          <w:sz w:val="24"/>
          <w:szCs w:val="24"/>
          <w:lang w:val="en-US" w:eastAsia="fi-FI"/>
        </w:rPr>
        <w:t>An employer is obligated to pay various insurance contributions, such as accident and unemployment insurance contributions, when paying salary. The employee’s age, duration of employment and salary amount may influence the obligation to pay or the size of the contribution.</w:t>
      </w:r>
    </w:p>
    <w:p w14:paraId="57359A18" w14:textId="77777777" w:rsidR="004C16AA" w:rsidRPr="004C16AA" w:rsidRDefault="004C16AA" w:rsidP="004C16AA">
      <w:pPr>
        <w:shd w:val="clear" w:color="auto" w:fill="FFFFFF"/>
        <w:spacing w:after="100" w:afterAutospacing="1" w:line="240" w:lineRule="auto"/>
        <w:rPr>
          <w:rFonts w:ascii="Arial" w:eastAsia="Times New Roman" w:hAnsi="Arial" w:cs="Arial"/>
          <w:color w:val="000000"/>
          <w:sz w:val="24"/>
          <w:szCs w:val="24"/>
          <w:lang w:val="en-US" w:eastAsia="fi-FI"/>
        </w:rPr>
      </w:pPr>
      <w:r w:rsidRPr="004C16AA">
        <w:rPr>
          <w:rFonts w:ascii="Arial" w:eastAsia="Times New Roman" w:hAnsi="Arial" w:cs="Arial"/>
          <w:color w:val="000000"/>
          <w:sz w:val="24"/>
          <w:szCs w:val="24"/>
          <w:lang w:val="en-US" w:eastAsia="fi-FI"/>
        </w:rPr>
        <w:t>This page tells you the sizes of the following employers’ contributions:</w:t>
      </w:r>
    </w:p>
    <w:p w14:paraId="3E656263" w14:textId="77777777" w:rsidR="004C16AA" w:rsidRPr="004C16AA" w:rsidRDefault="004C16AA" w:rsidP="004C16A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u w:val="single"/>
          <w:lang w:eastAsia="fi-FI"/>
        </w:rPr>
      </w:pPr>
      <w:hyperlink r:id="rId5" w:anchor="occupational_pension_contributions" w:history="1">
        <w:proofErr w:type="spellStart"/>
        <w:r w:rsidRPr="004C16AA">
          <w:rPr>
            <w:rFonts w:ascii="Arial" w:eastAsia="Times New Roman" w:hAnsi="Arial" w:cs="Arial"/>
            <w:color w:val="000000"/>
            <w:sz w:val="24"/>
            <w:szCs w:val="24"/>
            <w:u w:val="single"/>
            <w:lang w:eastAsia="fi-FI"/>
          </w:rPr>
          <w:t>Occupational</w:t>
        </w:r>
        <w:proofErr w:type="spellEnd"/>
        <w:r w:rsidRPr="004C16AA">
          <w:rPr>
            <w:rFonts w:ascii="Arial" w:eastAsia="Times New Roman" w:hAnsi="Arial" w:cs="Arial"/>
            <w:color w:val="000000"/>
            <w:sz w:val="24"/>
            <w:szCs w:val="24"/>
            <w:u w:val="single"/>
            <w:lang w:eastAsia="fi-FI"/>
          </w:rPr>
          <w:t xml:space="preserve"> </w:t>
        </w:r>
        <w:proofErr w:type="spellStart"/>
        <w:r w:rsidRPr="004C16AA">
          <w:rPr>
            <w:rFonts w:ascii="Arial" w:eastAsia="Times New Roman" w:hAnsi="Arial" w:cs="Arial"/>
            <w:color w:val="000000"/>
            <w:sz w:val="24"/>
            <w:szCs w:val="24"/>
            <w:u w:val="single"/>
            <w:lang w:eastAsia="fi-FI"/>
          </w:rPr>
          <w:t>pension</w:t>
        </w:r>
        <w:proofErr w:type="spellEnd"/>
        <w:r w:rsidRPr="004C16AA">
          <w:rPr>
            <w:rFonts w:ascii="Arial" w:eastAsia="Times New Roman" w:hAnsi="Arial" w:cs="Arial"/>
            <w:color w:val="000000"/>
            <w:sz w:val="24"/>
            <w:szCs w:val="24"/>
            <w:u w:val="single"/>
            <w:lang w:eastAsia="fi-FI"/>
          </w:rPr>
          <w:t xml:space="preserve"> </w:t>
        </w:r>
        <w:proofErr w:type="spellStart"/>
        <w:r w:rsidRPr="004C16AA">
          <w:rPr>
            <w:rFonts w:ascii="Arial" w:eastAsia="Times New Roman" w:hAnsi="Arial" w:cs="Arial"/>
            <w:color w:val="000000"/>
            <w:sz w:val="24"/>
            <w:szCs w:val="24"/>
            <w:u w:val="single"/>
            <w:lang w:eastAsia="fi-FI"/>
          </w:rPr>
          <w:t>contributions</w:t>
        </w:r>
        <w:proofErr w:type="spellEnd"/>
      </w:hyperlink>
    </w:p>
    <w:p w14:paraId="527C375F" w14:textId="77777777" w:rsidR="004C16AA" w:rsidRPr="004C16AA" w:rsidRDefault="004C16AA" w:rsidP="004C16A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u w:val="single"/>
          <w:lang w:eastAsia="fi-FI"/>
        </w:rPr>
      </w:pPr>
      <w:hyperlink r:id="rId6" w:anchor="health_insurance_contributions" w:history="1">
        <w:r w:rsidRPr="004C16AA">
          <w:rPr>
            <w:rFonts w:ascii="Arial" w:eastAsia="Times New Roman" w:hAnsi="Arial" w:cs="Arial"/>
            <w:color w:val="000000"/>
            <w:sz w:val="24"/>
            <w:szCs w:val="24"/>
            <w:u w:val="single"/>
            <w:lang w:eastAsia="fi-FI"/>
          </w:rPr>
          <w:t xml:space="preserve">Health </w:t>
        </w:r>
        <w:proofErr w:type="spellStart"/>
        <w:r w:rsidRPr="004C16AA">
          <w:rPr>
            <w:rFonts w:ascii="Arial" w:eastAsia="Times New Roman" w:hAnsi="Arial" w:cs="Arial"/>
            <w:color w:val="000000"/>
            <w:sz w:val="24"/>
            <w:szCs w:val="24"/>
            <w:u w:val="single"/>
            <w:lang w:eastAsia="fi-FI"/>
          </w:rPr>
          <w:t>insurance</w:t>
        </w:r>
        <w:proofErr w:type="spellEnd"/>
        <w:r w:rsidRPr="004C16AA">
          <w:rPr>
            <w:rFonts w:ascii="Arial" w:eastAsia="Times New Roman" w:hAnsi="Arial" w:cs="Arial"/>
            <w:color w:val="000000"/>
            <w:sz w:val="24"/>
            <w:szCs w:val="24"/>
            <w:u w:val="single"/>
            <w:lang w:eastAsia="fi-FI"/>
          </w:rPr>
          <w:t xml:space="preserve"> </w:t>
        </w:r>
        <w:proofErr w:type="spellStart"/>
        <w:r w:rsidRPr="004C16AA">
          <w:rPr>
            <w:rFonts w:ascii="Arial" w:eastAsia="Times New Roman" w:hAnsi="Arial" w:cs="Arial"/>
            <w:color w:val="000000"/>
            <w:sz w:val="24"/>
            <w:szCs w:val="24"/>
            <w:u w:val="single"/>
            <w:lang w:eastAsia="fi-FI"/>
          </w:rPr>
          <w:t>contributions</w:t>
        </w:r>
        <w:proofErr w:type="spellEnd"/>
      </w:hyperlink>
    </w:p>
    <w:p w14:paraId="02651553" w14:textId="77777777" w:rsidR="004C16AA" w:rsidRPr="004C16AA" w:rsidRDefault="004C16AA" w:rsidP="004C16A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u w:val="single"/>
          <w:lang w:eastAsia="fi-FI"/>
        </w:rPr>
      </w:pPr>
      <w:hyperlink r:id="rId7" w:anchor="unemployment_insurance_contributions" w:history="1">
        <w:proofErr w:type="spellStart"/>
        <w:r w:rsidRPr="004C16AA">
          <w:rPr>
            <w:rFonts w:ascii="Arial" w:eastAsia="Times New Roman" w:hAnsi="Arial" w:cs="Arial"/>
            <w:color w:val="000000"/>
            <w:sz w:val="24"/>
            <w:szCs w:val="24"/>
            <w:u w:val="single"/>
            <w:lang w:eastAsia="fi-FI"/>
          </w:rPr>
          <w:t>Unemployment</w:t>
        </w:r>
        <w:proofErr w:type="spellEnd"/>
        <w:r w:rsidRPr="004C16AA">
          <w:rPr>
            <w:rFonts w:ascii="Arial" w:eastAsia="Times New Roman" w:hAnsi="Arial" w:cs="Arial"/>
            <w:color w:val="000000"/>
            <w:sz w:val="24"/>
            <w:szCs w:val="24"/>
            <w:u w:val="single"/>
            <w:lang w:eastAsia="fi-FI"/>
          </w:rPr>
          <w:t xml:space="preserve"> </w:t>
        </w:r>
        <w:proofErr w:type="spellStart"/>
        <w:r w:rsidRPr="004C16AA">
          <w:rPr>
            <w:rFonts w:ascii="Arial" w:eastAsia="Times New Roman" w:hAnsi="Arial" w:cs="Arial"/>
            <w:color w:val="000000"/>
            <w:sz w:val="24"/>
            <w:szCs w:val="24"/>
            <w:u w:val="single"/>
            <w:lang w:eastAsia="fi-FI"/>
          </w:rPr>
          <w:t>insurance</w:t>
        </w:r>
        <w:proofErr w:type="spellEnd"/>
        <w:r w:rsidRPr="004C16AA">
          <w:rPr>
            <w:rFonts w:ascii="Arial" w:eastAsia="Times New Roman" w:hAnsi="Arial" w:cs="Arial"/>
            <w:color w:val="000000"/>
            <w:sz w:val="24"/>
            <w:szCs w:val="24"/>
            <w:u w:val="single"/>
            <w:lang w:eastAsia="fi-FI"/>
          </w:rPr>
          <w:t xml:space="preserve"> </w:t>
        </w:r>
        <w:proofErr w:type="spellStart"/>
        <w:r w:rsidRPr="004C16AA">
          <w:rPr>
            <w:rFonts w:ascii="Arial" w:eastAsia="Times New Roman" w:hAnsi="Arial" w:cs="Arial"/>
            <w:color w:val="000000"/>
            <w:sz w:val="24"/>
            <w:szCs w:val="24"/>
            <w:u w:val="single"/>
            <w:lang w:eastAsia="fi-FI"/>
          </w:rPr>
          <w:t>contributions</w:t>
        </w:r>
        <w:proofErr w:type="spellEnd"/>
      </w:hyperlink>
    </w:p>
    <w:p w14:paraId="7AEFD482" w14:textId="77777777" w:rsidR="004C16AA" w:rsidRPr="004C16AA" w:rsidRDefault="004C16AA" w:rsidP="004C16A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u w:val="single"/>
          <w:lang w:eastAsia="fi-FI"/>
        </w:rPr>
      </w:pPr>
      <w:hyperlink r:id="rId8" w:anchor="occupational_accident_insurance" w:history="1">
        <w:proofErr w:type="spellStart"/>
        <w:r w:rsidRPr="004C16AA">
          <w:rPr>
            <w:rFonts w:ascii="Arial" w:eastAsia="Times New Roman" w:hAnsi="Arial" w:cs="Arial"/>
            <w:color w:val="000000"/>
            <w:sz w:val="24"/>
            <w:szCs w:val="24"/>
            <w:u w:val="single"/>
            <w:lang w:eastAsia="fi-FI"/>
          </w:rPr>
          <w:t>Occupational</w:t>
        </w:r>
        <w:proofErr w:type="spellEnd"/>
        <w:r w:rsidRPr="004C16AA">
          <w:rPr>
            <w:rFonts w:ascii="Arial" w:eastAsia="Times New Roman" w:hAnsi="Arial" w:cs="Arial"/>
            <w:color w:val="000000"/>
            <w:sz w:val="24"/>
            <w:szCs w:val="24"/>
            <w:u w:val="single"/>
            <w:lang w:eastAsia="fi-FI"/>
          </w:rPr>
          <w:t xml:space="preserve"> </w:t>
        </w:r>
        <w:proofErr w:type="spellStart"/>
        <w:r w:rsidRPr="004C16AA">
          <w:rPr>
            <w:rFonts w:ascii="Arial" w:eastAsia="Times New Roman" w:hAnsi="Arial" w:cs="Arial"/>
            <w:color w:val="000000"/>
            <w:sz w:val="24"/>
            <w:szCs w:val="24"/>
            <w:u w:val="single"/>
            <w:lang w:eastAsia="fi-FI"/>
          </w:rPr>
          <w:t>accident</w:t>
        </w:r>
        <w:proofErr w:type="spellEnd"/>
        <w:r w:rsidRPr="004C16AA">
          <w:rPr>
            <w:rFonts w:ascii="Arial" w:eastAsia="Times New Roman" w:hAnsi="Arial" w:cs="Arial"/>
            <w:color w:val="000000"/>
            <w:sz w:val="24"/>
            <w:szCs w:val="24"/>
            <w:u w:val="single"/>
            <w:lang w:eastAsia="fi-FI"/>
          </w:rPr>
          <w:t xml:space="preserve"> </w:t>
        </w:r>
        <w:proofErr w:type="spellStart"/>
        <w:r w:rsidRPr="004C16AA">
          <w:rPr>
            <w:rFonts w:ascii="Arial" w:eastAsia="Times New Roman" w:hAnsi="Arial" w:cs="Arial"/>
            <w:color w:val="000000"/>
            <w:sz w:val="24"/>
            <w:szCs w:val="24"/>
            <w:u w:val="single"/>
            <w:lang w:eastAsia="fi-FI"/>
          </w:rPr>
          <w:t>insurance</w:t>
        </w:r>
        <w:proofErr w:type="spellEnd"/>
      </w:hyperlink>
    </w:p>
    <w:p w14:paraId="5DB88ABE" w14:textId="77777777" w:rsidR="004C16AA" w:rsidRPr="004C16AA" w:rsidRDefault="004C16AA" w:rsidP="004C16AA">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u w:val="single"/>
          <w:lang w:eastAsia="fi-FI"/>
        </w:rPr>
      </w:pPr>
      <w:hyperlink r:id="rId9" w:anchor="group_life_insurance" w:history="1">
        <w:r w:rsidRPr="004C16AA">
          <w:rPr>
            <w:rFonts w:ascii="Arial" w:eastAsia="Times New Roman" w:hAnsi="Arial" w:cs="Arial"/>
            <w:color w:val="000000"/>
            <w:sz w:val="24"/>
            <w:szCs w:val="24"/>
            <w:u w:val="single"/>
            <w:lang w:eastAsia="fi-FI"/>
          </w:rPr>
          <w:t xml:space="preserve">Group life </w:t>
        </w:r>
        <w:proofErr w:type="spellStart"/>
        <w:r w:rsidRPr="004C16AA">
          <w:rPr>
            <w:rFonts w:ascii="Arial" w:eastAsia="Times New Roman" w:hAnsi="Arial" w:cs="Arial"/>
            <w:color w:val="000000"/>
            <w:sz w:val="24"/>
            <w:szCs w:val="24"/>
            <w:u w:val="single"/>
            <w:lang w:eastAsia="fi-FI"/>
          </w:rPr>
          <w:t>insurance</w:t>
        </w:r>
        <w:proofErr w:type="spellEnd"/>
      </w:hyperlink>
    </w:p>
    <w:p w14:paraId="0BAF9430" w14:textId="6B4E9C06" w:rsidR="004C16AA" w:rsidRPr="004C16AA" w:rsidRDefault="004C16AA" w:rsidP="004C16AA">
      <w:pPr>
        <w:shd w:val="clear" w:color="auto" w:fill="FFFFFF"/>
        <w:spacing w:after="0" w:line="240" w:lineRule="auto"/>
        <w:rPr>
          <w:rFonts w:ascii="Arial" w:eastAsia="Times New Roman" w:hAnsi="Arial" w:cs="Arial"/>
          <w:color w:val="000000"/>
          <w:sz w:val="24"/>
          <w:szCs w:val="24"/>
          <w:lang w:eastAsia="fi-FI"/>
        </w:rPr>
      </w:pPr>
    </w:p>
    <w:p w14:paraId="577D5064" w14:textId="41C48D83" w:rsidR="004C16AA" w:rsidRPr="004C16AA" w:rsidRDefault="004C16AA" w:rsidP="004C16AA">
      <w:pPr>
        <w:shd w:val="clear" w:color="auto" w:fill="FFFFFF"/>
        <w:spacing w:after="0" w:line="240" w:lineRule="auto"/>
        <w:rPr>
          <w:rFonts w:ascii="Arial" w:eastAsia="Times New Roman" w:hAnsi="Arial" w:cs="Arial"/>
          <w:color w:val="000000"/>
          <w:sz w:val="24"/>
          <w:szCs w:val="24"/>
          <w:lang w:val="en-US" w:eastAsia="fi-FI"/>
        </w:rPr>
      </w:pPr>
    </w:p>
    <w:p w14:paraId="7D81F2E7" w14:textId="77777777" w:rsidR="004C16AA" w:rsidRPr="004C16AA" w:rsidRDefault="004C16AA" w:rsidP="004C16AA">
      <w:pPr>
        <w:shd w:val="clear" w:color="auto" w:fill="F7F7F7"/>
        <w:spacing w:after="300" w:line="240" w:lineRule="auto"/>
        <w:outlineLvl w:val="1"/>
        <w:rPr>
          <w:rFonts w:ascii="Arial" w:eastAsia="Times New Roman" w:hAnsi="Arial" w:cs="Arial"/>
          <w:b/>
          <w:bCs/>
          <w:color w:val="000000"/>
          <w:sz w:val="36"/>
          <w:szCs w:val="36"/>
          <w:lang w:val="en-US" w:eastAsia="fi-FI"/>
        </w:rPr>
      </w:pPr>
      <w:r w:rsidRPr="004C16AA">
        <w:rPr>
          <w:rFonts w:ascii="Arial" w:eastAsia="Times New Roman" w:hAnsi="Arial" w:cs="Arial"/>
          <w:b/>
          <w:bCs/>
          <w:color w:val="000000"/>
          <w:sz w:val="36"/>
          <w:szCs w:val="36"/>
          <w:lang w:val="en-US" w:eastAsia="fi-FI"/>
        </w:rPr>
        <w:t>Occupational pension contributions</w:t>
      </w:r>
    </w:p>
    <w:p w14:paraId="7D507B4E" w14:textId="77777777" w:rsidR="004C16AA" w:rsidRPr="004C16AA" w:rsidRDefault="004C16AA" w:rsidP="004C16AA">
      <w:pPr>
        <w:shd w:val="clear" w:color="auto" w:fill="F7F7F7"/>
        <w:spacing w:after="100" w:afterAutospacing="1" w:line="240" w:lineRule="auto"/>
        <w:rPr>
          <w:rFonts w:ascii="Arial" w:eastAsia="Times New Roman" w:hAnsi="Arial" w:cs="Arial"/>
          <w:color w:val="000000"/>
          <w:sz w:val="24"/>
          <w:szCs w:val="24"/>
          <w:lang w:val="en-US" w:eastAsia="fi-FI"/>
        </w:rPr>
      </w:pPr>
      <w:r w:rsidRPr="004C16AA">
        <w:rPr>
          <w:rFonts w:ascii="Arial" w:eastAsia="Times New Roman" w:hAnsi="Arial" w:cs="Arial"/>
          <w:color w:val="000000"/>
          <w:sz w:val="24"/>
          <w:szCs w:val="24"/>
          <w:lang w:val="en-US" w:eastAsia="fi-FI"/>
        </w:rPr>
        <w:t>Employee aged 17–67</w:t>
      </w:r>
    </w:p>
    <w:p w14:paraId="1397550D" w14:textId="77777777" w:rsidR="004C16AA" w:rsidRPr="004C16AA" w:rsidRDefault="004C16AA" w:rsidP="004C16AA">
      <w:pPr>
        <w:shd w:val="clear" w:color="auto" w:fill="F7F7F7"/>
        <w:spacing w:after="100" w:afterAutospacing="1" w:line="240" w:lineRule="auto"/>
        <w:rPr>
          <w:rFonts w:ascii="Arial" w:eastAsia="Times New Roman" w:hAnsi="Arial" w:cs="Arial"/>
          <w:color w:val="000000"/>
          <w:sz w:val="24"/>
          <w:szCs w:val="24"/>
          <w:lang w:val="en-US" w:eastAsia="fi-FI"/>
        </w:rPr>
      </w:pPr>
      <w:r w:rsidRPr="004C16AA">
        <w:rPr>
          <w:rFonts w:ascii="Arial" w:eastAsia="Times New Roman" w:hAnsi="Arial" w:cs="Arial"/>
          <w:color w:val="000000"/>
          <w:sz w:val="24"/>
          <w:szCs w:val="24"/>
          <w:lang w:val="en-US" w:eastAsia="fi-FI"/>
        </w:rPr>
        <w:t>The 2022 occupational pension contributions include the first recovery portion for the discount given on 2020 occupational pension contributions.</w:t>
      </w:r>
    </w:p>
    <w:p w14:paraId="2FA694FD" w14:textId="77777777" w:rsidR="004C16AA" w:rsidRPr="004C16AA" w:rsidRDefault="004C16AA" w:rsidP="004C16AA">
      <w:pPr>
        <w:shd w:val="clear" w:color="auto" w:fill="F7F7F7"/>
        <w:spacing w:after="100" w:afterAutospacing="1" w:line="240" w:lineRule="auto"/>
        <w:rPr>
          <w:rFonts w:ascii="Arial" w:eastAsia="Times New Roman" w:hAnsi="Arial" w:cs="Arial"/>
          <w:color w:val="000000"/>
          <w:sz w:val="24"/>
          <w:szCs w:val="24"/>
          <w:lang w:val="en-US" w:eastAsia="fi-FI"/>
        </w:rPr>
      </w:pPr>
      <w:r w:rsidRPr="004C16AA">
        <w:rPr>
          <w:rFonts w:ascii="Arial" w:eastAsia="Times New Roman" w:hAnsi="Arial" w:cs="Arial"/>
          <w:color w:val="000000"/>
          <w:sz w:val="24"/>
          <w:szCs w:val="24"/>
          <w:lang w:val="en-US" w:eastAsia="fi-FI"/>
        </w:rPr>
        <w:t>The average occupational pension contribution is an average of the occupational pension contributions charged by different occupational pension providers. The annually adjusted occupational pension contributions vary between different pension providers. The amount of occupational pension contributions depends on the rebates received by occupational pension providers, which are based on the share of proceeds generated by the company’s solvency position.</w:t>
      </w:r>
    </w:p>
    <w:tbl>
      <w:tblPr>
        <w:tblW w:w="13980" w:type="dxa"/>
        <w:tblCellMar>
          <w:top w:w="15" w:type="dxa"/>
          <w:left w:w="15" w:type="dxa"/>
          <w:bottom w:w="15" w:type="dxa"/>
          <w:right w:w="15" w:type="dxa"/>
        </w:tblCellMar>
        <w:tblLook w:val="04A0" w:firstRow="1" w:lastRow="0" w:firstColumn="1" w:lastColumn="0" w:noHBand="0" w:noVBand="1"/>
      </w:tblPr>
      <w:tblGrid>
        <w:gridCol w:w="13080"/>
        <w:gridCol w:w="900"/>
      </w:tblGrid>
      <w:tr w:rsidR="004C16AA" w:rsidRPr="004C16AA" w14:paraId="0FF05CE9"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4AE6968" w14:textId="77777777" w:rsidR="004C16AA" w:rsidRPr="004C16AA" w:rsidRDefault="004C16AA" w:rsidP="004C16AA">
            <w:pPr>
              <w:spacing w:after="0" w:line="240" w:lineRule="auto"/>
              <w:rPr>
                <w:rFonts w:ascii="Times New Roman" w:eastAsia="Times New Roman" w:hAnsi="Times New Roman" w:cs="Times New Roman"/>
                <w:sz w:val="24"/>
                <w:szCs w:val="24"/>
                <w:lang w:val="en-US" w:eastAsia="fi-FI"/>
              </w:rPr>
            </w:pPr>
            <w:r w:rsidRPr="004C16AA">
              <w:rPr>
                <w:rFonts w:ascii="Times New Roman" w:eastAsia="Times New Roman" w:hAnsi="Times New Roman" w:cs="Times New Roman"/>
                <w:b/>
                <w:bCs/>
                <w:sz w:val="24"/>
                <w:szCs w:val="24"/>
                <w:lang w:val="en-US" w:eastAsia="fi-FI"/>
              </w:rPr>
              <w:t>EMPLOYER’S SHARE</w:t>
            </w:r>
            <w:r w:rsidRPr="004C16AA">
              <w:rPr>
                <w:rFonts w:ascii="Times New Roman" w:eastAsia="Times New Roman" w:hAnsi="Times New Roman" w:cs="Times New Roman"/>
                <w:sz w:val="24"/>
                <w:szCs w:val="24"/>
                <w:lang w:val="en-US" w:eastAsia="fi-FI"/>
              </w:rPr>
              <w:t> </w:t>
            </w:r>
            <w:r w:rsidRPr="004C16AA">
              <w:rPr>
                <w:rFonts w:ascii="Times New Roman" w:eastAsia="Times New Roman" w:hAnsi="Times New Roman" w:cs="Times New Roman"/>
                <w:i/>
                <w:iCs/>
                <w:sz w:val="24"/>
                <w:szCs w:val="24"/>
                <w:lang w:val="en-US" w:eastAsia="fi-FI"/>
              </w:rPr>
              <w:t>(% of salary)</w:t>
            </w:r>
            <w:r w:rsidRPr="004C16AA">
              <w:rPr>
                <w:rFonts w:ascii="Times New Roman" w:eastAsia="Times New Roman" w:hAnsi="Times New Roman" w:cs="Times New Roman"/>
                <w:i/>
                <w:iCs/>
                <w:sz w:val="24"/>
                <w:szCs w:val="24"/>
                <w:lang w:val="en-US" w:eastAsia="fi-FI"/>
              </w:rPr>
              <w:br/>
              <w:t>(In 2022, the 2020 salary amount is used)</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0E76CC"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eastAsia="fi-FI"/>
              </w:rPr>
              <w:t>2022</w:t>
            </w:r>
          </w:p>
        </w:tc>
      </w:tr>
      <w:tr w:rsidR="004C16AA" w:rsidRPr="004C16AA" w14:paraId="7958C8A5"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29003C" w14:textId="77777777" w:rsidR="004C16AA" w:rsidRPr="004C16AA" w:rsidRDefault="004C16AA" w:rsidP="004C16AA">
            <w:pPr>
              <w:spacing w:after="0" w:line="240" w:lineRule="auto"/>
              <w:rPr>
                <w:rFonts w:ascii="Times New Roman" w:eastAsia="Times New Roman" w:hAnsi="Times New Roman" w:cs="Times New Roman"/>
                <w:sz w:val="24"/>
                <w:szCs w:val="24"/>
                <w:lang w:val="en-US" w:eastAsia="fi-FI"/>
              </w:rPr>
            </w:pPr>
            <w:r w:rsidRPr="004C16AA">
              <w:rPr>
                <w:rFonts w:ascii="Times New Roman" w:eastAsia="Times New Roman" w:hAnsi="Times New Roman" w:cs="Times New Roman"/>
                <w:b/>
                <w:bCs/>
                <w:sz w:val="24"/>
                <w:szCs w:val="24"/>
                <w:lang w:val="en-US" w:eastAsia="fi-FI"/>
              </w:rPr>
              <w:lastRenderedPageBreak/>
              <w:t>Average</w:t>
            </w:r>
            <w:r w:rsidRPr="004C16AA">
              <w:rPr>
                <w:rFonts w:ascii="Times New Roman" w:eastAsia="Times New Roman" w:hAnsi="Times New Roman" w:cs="Times New Roman"/>
                <w:sz w:val="24"/>
                <w:szCs w:val="24"/>
                <w:lang w:val="en-US" w:eastAsia="fi-FI"/>
              </w:rPr>
              <w:t> occupational pension contribution.</w:t>
            </w:r>
            <w:r w:rsidRPr="004C16AA">
              <w:rPr>
                <w:rFonts w:ascii="Times New Roman" w:eastAsia="Times New Roman" w:hAnsi="Times New Roman" w:cs="Times New Roman"/>
                <w:sz w:val="24"/>
                <w:szCs w:val="24"/>
                <w:lang w:val="en-US" w:eastAsia="fi-FI"/>
              </w:rPr>
              <w:br/>
              <w:t>– Contribution reduced by possible client rebate and expense loading discount. In addition, if the employer paid at least €2,169,000 in 2020, the disability pension contribution of the appropriate class and premium loss component affect the amount of the insurance.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6FAAA02"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24,85 %</w:t>
            </w:r>
          </w:p>
        </w:tc>
      </w:tr>
      <w:tr w:rsidR="004C16AA" w:rsidRPr="004C16AA" w14:paraId="2920980E"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E164B70" w14:textId="77777777" w:rsidR="004C16AA" w:rsidRPr="004C16AA" w:rsidRDefault="004C16AA" w:rsidP="004C16AA">
            <w:pPr>
              <w:spacing w:after="0" w:line="240" w:lineRule="auto"/>
              <w:rPr>
                <w:rFonts w:ascii="Times New Roman" w:eastAsia="Times New Roman" w:hAnsi="Times New Roman" w:cs="Times New Roman"/>
                <w:sz w:val="24"/>
                <w:szCs w:val="24"/>
                <w:lang w:val="en-US" w:eastAsia="fi-FI"/>
              </w:rPr>
            </w:pPr>
            <w:r w:rsidRPr="004C16AA">
              <w:rPr>
                <w:rFonts w:ascii="Times New Roman" w:eastAsia="Times New Roman" w:hAnsi="Times New Roman" w:cs="Times New Roman"/>
                <w:sz w:val="24"/>
                <w:szCs w:val="24"/>
                <w:lang w:val="en-US" w:eastAsia="fi-FI"/>
              </w:rPr>
              <w:t>Temporary employer</w:t>
            </w:r>
            <w:r w:rsidRPr="004C16AA">
              <w:rPr>
                <w:rFonts w:ascii="Times New Roman" w:eastAsia="Times New Roman" w:hAnsi="Times New Roman" w:cs="Times New Roman"/>
                <w:sz w:val="24"/>
                <w:szCs w:val="24"/>
                <w:lang w:val="en-US" w:eastAsia="fi-FI"/>
              </w:rPr>
              <w:br/>
              <w:t>No permanent employees and salary bill for six months less than €9,006</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858FE4D"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24,85 %</w:t>
            </w:r>
          </w:p>
        </w:tc>
      </w:tr>
    </w:tbl>
    <w:p w14:paraId="627620E2" w14:textId="77777777" w:rsidR="004C16AA" w:rsidRPr="004C16AA" w:rsidRDefault="004C16AA" w:rsidP="004C16AA">
      <w:pPr>
        <w:shd w:val="clear" w:color="auto" w:fill="FFFFFF"/>
        <w:spacing w:after="0" w:line="240" w:lineRule="auto"/>
        <w:rPr>
          <w:rFonts w:ascii="Arial" w:eastAsia="Times New Roman" w:hAnsi="Arial" w:cs="Arial"/>
          <w:vanish/>
          <w:color w:val="000000"/>
          <w:sz w:val="24"/>
          <w:szCs w:val="24"/>
          <w:lang w:eastAsia="fi-FI"/>
        </w:rPr>
      </w:pPr>
    </w:p>
    <w:tbl>
      <w:tblPr>
        <w:tblW w:w="13980" w:type="dxa"/>
        <w:tblCellMar>
          <w:top w:w="15" w:type="dxa"/>
          <w:left w:w="15" w:type="dxa"/>
          <w:bottom w:w="15" w:type="dxa"/>
          <w:right w:w="15" w:type="dxa"/>
        </w:tblCellMar>
        <w:tblLook w:val="04A0" w:firstRow="1" w:lastRow="0" w:firstColumn="1" w:lastColumn="0" w:noHBand="0" w:noVBand="1"/>
      </w:tblPr>
      <w:tblGrid>
        <w:gridCol w:w="13156"/>
        <w:gridCol w:w="824"/>
      </w:tblGrid>
      <w:tr w:rsidR="004C16AA" w:rsidRPr="004C16AA" w14:paraId="576A3F0F"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D86919" w14:textId="77777777" w:rsidR="004C16AA" w:rsidRPr="004C16AA" w:rsidRDefault="004C16AA" w:rsidP="004C16AA">
            <w:pPr>
              <w:spacing w:after="0" w:line="240" w:lineRule="auto"/>
              <w:rPr>
                <w:rFonts w:ascii="Times New Roman" w:eastAsia="Times New Roman" w:hAnsi="Times New Roman" w:cs="Times New Roman"/>
                <w:sz w:val="24"/>
                <w:szCs w:val="24"/>
                <w:lang w:val="en-US" w:eastAsia="fi-FI"/>
              </w:rPr>
            </w:pPr>
            <w:r w:rsidRPr="004C16AA">
              <w:rPr>
                <w:rFonts w:ascii="Times New Roman" w:eastAsia="Times New Roman" w:hAnsi="Times New Roman" w:cs="Times New Roman"/>
                <w:b/>
                <w:bCs/>
                <w:sz w:val="24"/>
                <w:szCs w:val="24"/>
                <w:lang w:val="en-US" w:eastAsia="fi-FI"/>
              </w:rPr>
              <w:t>EMPLOYEE’S SHARE</w:t>
            </w:r>
            <w:r w:rsidRPr="004C16AA">
              <w:rPr>
                <w:rFonts w:ascii="Times New Roman" w:eastAsia="Times New Roman" w:hAnsi="Times New Roman" w:cs="Times New Roman"/>
                <w:sz w:val="24"/>
                <w:szCs w:val="24"/>
                <w:lang w:val="en-US" w:eastAsia="fi-FI"/>
              </w:rPr>
              <w:t> </w:t>
            </w:r>
            <w:r w:rsidRPr="004C16AA">
              <w:rPr>
                <w:rFonts w:ascii="Times New Roman" w:eastAsia="Times New Roman" w:hAnsi="Times New Roman" w:cs="Times New Roman"/>
                <w:i/>
                <w:iCs/>
                <w:sz w:val="24"/>
                <w:szCs w:val="24"/>
                <w:lang w:val="en-US" w:eastAsia="fi-FI"/>
              </w:rPr>
              <w:t>(% of salary)</w:t>
            </w:r>
            <w:r w:rsidRPr="004C16AA">
              <w:rPr>
                <w:rFonts w:ascii="Times New Roman" w:eastAsia="Times New Roman" w:hAnsi="Times New Roman" w:cs="Times New Roman"/>
                <w:sz w:val="24"/>
                <w:szCs w:val="24"/>
                <w:lang w:val="en-US" w:eastAsia="fi-FI"/>
              </w:rPr>
              <w:br/>
              <w:t>The employee’s share is included in the total payment. The employer withholds the payment from salary.</w:t>
            </w:r>
            <w:r w:rsidRPr="004C16AA">
              <w:rPr>
                <w:rFonts w:ascii="Times New Roman" w:eastAsia="Times New Roman" w:hAnsi="Times New Roman" w:cs="Times New Roman"/>
                <w:sz w:val="24"/>
                <w:szCs w:val="24"/>
                <w:lang w:val="en-US" w:eastAsia="fi-FI"/>
              </w:rPr>
              <w:br/>
              <w:t>Because of the transitional rule in 2017–2025, a contribution which is 1.5 percentage points larger is withheld from employees aged 53–62 than from other employees. For that period, they will accrue pension at the rate of 1.7% instead of 1.5%.</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144CC9B"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eastAsia="fi-FI"/>
              </w:rPr>
              <w:t>2022</w:t>
            </w:r>
          </w:p>
        </w:tc>
      </w:tr>
      <w:tr w:rsidR="004C16AA" w:rsidRPr="004C16AA" w14:paraId="088234B2"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201F9BE"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17–52-year-olds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D6B8F4"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7,15 %</w:t>
            </w:r>
          </w:p>
        </w:tc>
      </w:tr>
      <w:tr w:rsidR="004C16AA" w:rsidRPr="004C16AA" w14:paraId="752FFAB1"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2C5228"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53–62-year-olds (</w:t>
            </w:r>
            <w:proofErr w:type="spellStart"/>
            <w:r w:rsidRPr="004C16AA">
              <w:rPr>
                <w:rFonts w:ascii="Times New Roman" w:eastAsia="Times New Roman" w:hAnsi="Times New Roman" w:cs="Times New Roman"/>
                <w:sz w:val="24"/>
                <w:szCs w:val="24"/>
                <w:lang w:eastAsia="fi-FI"/>
              </w:rPr>
              <w:t>transitional</w:t>
            </w:r>
            <w:proofErr w:type="spellEnd"/>
            <w:r w:rsidRPr="004C16AA">
              <w:rPr>
                <w:rFonts w:ascii="Times New Roman" w:eastAsia="Times New Roman" w:hAnsi="Times New Roman" w:cs="Times New Roman"/>
                <w:sz w:val="24"/>
                <w:szCs w:val="24"/>
                <w:lang w:eastAsia="fi-FI"/>
              </w:rPr>
              <w:t xml:space="preserve"> </w:t>
            </w:r>
            <w:proofErr w:type="spellStart"/>
            <w:r w:rsidRPr="004C16AA">
              <w:rPr>
                <w:rFonts w:ascii="Times New Roman" w:eastAsia="Times New Roman" w:hAnsi="Times New Roman" w:cs="Times New Roman"/>
                <w:sz w:val="24"/>
                <w:szCs w:val="24"/>
                <w:lang w:eastAsia="fi-FI"/>
              </w:rPr>
              <w:t>rule</w:t>
            </w:r>
            <w:proofErr w:type="spellEnd"/>
            <w:r w:rsidRPr="004C16AA">
              <w:rPr>
                <w:rFonts w:ascii="Times New Roman" w:eastAsia="Times New Roman" w:hAnsi="Times New Roman" w:cs="Times New Roman"/>
                <w:sz w:val="24"/>
                <w:szCs w:val="24"/>
                <w:lang w:eastAsia="fi-FI"/>
              </w:rPr>
              <w:t xml:space="preserve"> 2017–2025)</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D587290"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8,65 %</w:t>
            </w:r>
          </w:p>
        </w:tc>
      </w:tr>
      <w:tr w:rsidR="004C16AA" w:rsidRPr="004C16AA" w14:paraId="6D8F39B5"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CB14638"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63–67-year-olds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DFBE2A"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7,15 %</w:t>
            </w:r>
          </w:p>
        </w:tc>
      </w:tr>
    </w:tbl>
    <w:p w14:paraId="2AA5B689" w14:textId="77777777" w:rsidR="004C16AA" w:rsidRPr="004C16AA" w:rsidRDefault="004C16AA" w:rsidP="004C16AA">
      <w:pPr>
        <w:shd w:val="clear" w:color="auto" w:fill="FFFFFF"/>
        <w:spacing w:after="0" w:line="240" w:lineRule="auto"/>
        <w:rPr>
          <w:rFonts w:ascii="Arial" w:eastAsia="Times New Roman" w:hAnsi="Arial" w:cs="Arial"/>
          <w:vanish/>
          <w:color w:val="000000"/>
          <w:sz w:val="24"/>
          <w:szCs w:val="24"/>
          <w:lang w:eastAsia="fi-FI"/>
        </w:rPr>
      </w:pPr>
    </w:p>
    <w:tbl>
      <w:tblPr>
        <w:tblW w:w="13980" w:type="dxa"/>
        <w:tblCellMar>
          <w:top w:w="15" w:type="dxa"/>
          <w:left w:w="15" w:type="dxa"/>
          <w:bottom w:w="15" w:type="dxa"/>
          <w:right w:w="15" w:type="dxa"/>
        </w:tblCellMar>
        <w:tblLook w:val="04A0" w:firstRow="1" w:lastRow="0" w:firstColumn="1" w:lastColumn="0" w:noHBand="0" w:noVBand="1"/>
      </w:tblPr>
      <w:tblGrid>
        <w:gridCol w:w="11394"/>
        <w:gridCol w:w="2586"/>
      </w:tblGrid>
      <w:tr w:rsidR="004C16AA" w:rsidRPr="004C16AA" w14:paraId="6EF803F3"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2588142" w14:textId="77777777" w:rsidR="004C16AA" w:rsidRPr="004C16AA" w:rsidRDefault="004C16AA" w:rsidP="004C16AA">
            <w:pPr>
              <w:spacing w:after="0" w:line="240" w:lineRule="auto"/>
              <w:rPr>
                <w:rFonts w:ascii="Times New Roman" w:eastAsia="Times New Roman" w:hAnsi="Times New Roman" w:cs="Times New Roman"/>
                <w:sz w:val="24"/>
                <w:szCs w:val="24"/>
                <w:lang w:val="en-US" w:eastAsia="fi-FI"/>
              </w:rPr>
            </w:pPr>
            <w:r w:rsidRPr="004C16AA">
              <w:rPr>
                <w:rFonts w:ascii="Times New Roman" w:eastAsia="Times New Roman" w:hAnsi="Times New Roman" w:cs="Times New Roman"/>
                <w:b/>
                <w:bCs/>
                <w:sz w:val="24"/>
                <w:szCs w:val="24"/>
                <w:lang w:val="en-US" w:eastAsia="fi-FI"/>
              </w:rPr>
              <w:t>Limit for occupational pension insurance (</w:t>
            </w:r>
            <w:proofErr w:type="spellStart"/>
            <w:r w:rsidRPr="004C16AA">
              <w:rPr>
                <w:rFonts w:ascii="Times New Roman" w:eastAsia="Times New Roman" w:hAnsi="Times New Roman" w:cs="Times New Roman"/>
                <w:b/>
                <w:bCs/>
                <w:sz w:val="24"/>
                <w:szCs w:val="24"/>
                <w:lang w:val="en-US" w:eastAsia="fi-FI"/>
              </w:rPr>
              <w:t>TyEL</w:t>
            </w:r>
            <w:proofErr w:type="spellEnd"/>
            <w:r w:rsidRPr="004C16AA">
              <w:rPr>
                <w:rFonts w:ascii="Times New Roman" w:eastAsia="Times New Roman" w:hAnsi="Times New Roman" w:cs="Times New Roman"/>
                <w:b/>
                <w:bCs/>
                <w:sz w:val="24"/>
                <w:szCs w:val="24"/>
                <w:lang w:val="en-US" w:eastAsia="fi-FI"/>
              </w:rPr>
              <w: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639281"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eastAsia="fi-FI"/>
              </w:rPr>
              <w:t>2022</w:t>
            </w:r>
          </w:p>
        </w:tc>
      </w:tr>
      <w:tr w:rsidR="004C16AA" w:rsidRPr="004C16AA" w14:paraId="07D8281D"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BBC7E1C" w14:textId="77777777" w:rsidR="004C16AA" w:rsidRPr="004C16AA" w:rsidRDefault="004C16AA" w:rsidP="004C16AA">
            <w:pPr>
              <w:spacing w:after="0" w:line="240" w:lineRule="auto"/>
              <w:rPr>
                <w:rFonts w:ascii="Times New Roman" w:eastAsia="Times New Roman" w:hAnsi="Times New Roman" w:cs="Times New Roman"/>
                <w:sz w:val="24"/>
                <w:szCs w:val="24"/>
                <w:lang w:val="en-US" w:eastAsia="fi-FI"/>
              </w:rPr>
            </w:pPr>
            <w:r w:rsidRPr="004C16AA">
              <w:rPr>
                <w:rFonts w:ascii="Times New Roman" w:eastAsia="Times New Roman" w:hAnsi="Times New Roman" w:cs="Times New Roman"/>
                <w:sz w:val="24"/>
                <w:szCs w:val="24"/>
                <w:lang w:val="en-US" w:eastAsia="fi-FI"/>
              </w:rPr>
              <w:t>No permanent employees and salary bill for six months less than €9,006.</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3EC353"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62,88 €/</w:t>
            </w:r>
            <w:proofErr w:type="spellStart"/>
            <w:r w:rsidRPr="004C16AA">
              <w:rPr>
                <w:rFonts w:ascii="Times New Roman" w:eastAsia="Times New Roman" w:hAnsi="Times New Roman" w:cs="Times New Roman"/>
                <w:sz w:val="24"/>
                <w:szCs w:val="24"/>
                <w:lang w:eastAsia="fi-FI"/>
              </w:rPr>
              <w:t>month</w:t>
            </w:r>
            <w:proofErr w:type="spellEnd"/>
          </w:p>
        </w:tc>
      </w:tr>
    </w:tbl>
    <w:p w14:paraId="0A8795AA" w14:textId="77777777" w:rsidR="004C16AA" w:rsidRPr="004C16AA" w:rsidRDefault="004C16AA" w:rsidP="004C16AA">
      <w:pPr>
        <w:shd w:val="clear" w:color="auto" w:fill="F7F7F7"/>
        <w:spacing w:after="300" w:line="240" w:lineRule="auto"/>
        <w:outlineLvl w:val="1"/>
        <w:rPr>
          <w:rFonts w:ascii="Arial" w:eastAsia="Times New Roman" w:hAnsi="Arial" w:cs="Arial"/>
          <w:b/>
          <w:bCs/>
          <w:color w:val="000000"/>
          <w:sz w:val="36"/>
          <w:szCs w:val="36"/>
          <w:lang w:eastAsia="fi-FI"/>
        </w:rPr>
      </w:pPr>
      <w:r w:rsidRPr="004C16AA">
        <w:rPr>
          <w:rFonts w:ascii="Arial" w:eastAsia="Times New Roman" w:hAnsi="Arial" w:cs="Arial"/>
          <w:b/>
          <w:bCs/>
          <w:color w:val="000000"/>
          <w:sz w:val="36"/>
          <w:szCs w:val="36"/>
          <w:lang w:eastAsia="fi-FI"/>
        </w:rPr>
        <w:t xml:space="preserve">Health </w:t>
      </w:r>
      <w:proofErr w:type="spellStart"/>
      <w:r w:rsidRPr="004C16AA">
        <w:rPr>
          <w:rFonts w:ascii="Arial" w:eastAsia="Times New Roman" w:hAnsi="Arial" w:cs="Arial"/>
          <w:b/>
          <w:bCs/>
          <w:color w:val="000000"/>
          <w:sz w:val="36"/>
          <w:szCs w:val="36"/>
          <w:lang w:eastAsia="fi-FI"/>
        </w:rPr>
        <w:t>insurance</w:t>
      </w:r>
      <w:proofErr w:type="spellEnd"/>
      <w:r w:rsidRPr="004C16AA">
        <w:rPr>
          <w:rFonts w:ascii="Arial" w:eastAsia="Times New Roman" w:hAnsi="Arial" w:cs="Arial"/>
          <w:b/>
          <w:bCs/>
          <w:color w:val="000000"/>
          <w:sz w:val="36"/>
          <w:szCs w:val="36"/>
          <w:lang w:eastAsia="fi-FI"/>
        </w:rPr>
        <w:t xml:space="preserve"> </w:t>
      </w:r>
      <w:proofErr w:type="spellStart"/>
      <w:r w:rsidRPr="004C16AA">
        <w:rPr>
          <w:rFonts w:ascii="Arial" w:eastAsia="Times New Roman" w:hAnsi="Arial" w:cs="Arial"/>
          <w:b/>
          <w:bCs/>
          <w:color w:val="000000"/>
          <w:sz w:val="36"/>
          <w:szCs w:val="36"/>
          <w:lang w:eastAsia="fi-FI"/>
        </w:rPr>
        <w:t>contributions</w:t>
      </w:r>
      <w:proofErr w:type="spellEnd"/>
    </w:p>
    <w:p w14:paraId="0E8545EB" w14:textId="77777777" w:rsidR="004C16AA" w:rsidRPr="004C16AA" w:rsidRDefault="004C16AA" w:rsidP="004C16AA">
      <w:pPr>
        <w:shd w:val="clear" w:color="auto" w:fill="F7F7F7"/>
        <w:spacing w:after="100" w:afterAutospacing="1" w:line="240" w:lineRule="auto"/>
        <w:rPr>
          <w:rFonts w:ascii="Arial" w:eastAsia="Times New Roman" w:hAnsi="Arial" w:cs="Arial"/>
          <w:color w:val="000000"/>
          <w:sz w:val="24"/>
          <w:szCs w:val="24"/>
          <w:lang w:eastAsia="fi-FI"/>
        </w:rPr>
      </w:pPr>
      <w:proofErr w:type="spellStart"/>
      <w:r w:rsidRPr="004C16AA">
        <w:rPr>
          <w:rFonts w:ascii="Arial" w:eastAsia="Times New Roman" w:hAnsi="Arial" w:cs="Arial"/>
          <w:color w:val="000000"/>
          <w:sz w:val="24"/>
          <w:szCs w:val="24"/>
          <w:lang w:eastAsia="fi-FI"/>
        </w:rPr>
        <w:t>Employee</w:t>
      </w:r>
      <w:proofErr w:type="spellEnd"/>
      <w:r w:rsidRPr="004C16AA">
        <w:rPr>
          <w:rFonts w:ascii="Arial" w:eastAsia="Times New Roman" w:hAnsi="Arial" w:cs="Arial"/>
          <w:color w:val="000000"/>
          <w:sz w:val="24"/>
          <w:szCs w:val="24"/>
          <w:lang w:eastAsia="fi-FI"/>
        </w:rPr>
        <w:t xml:space="preserve"> </w:t>
      </w:r>
      <w:proofErr w:type="spellStart"/>
      <w:r w:rsidRPr="004C16AA">
        <w:rPr>
          <w:rFonts w:ascii="Arial" w:eastAsia="Times New Roman" w:hAnsi="Arial" w:cs="Arial"/>
          <w:color w:val="000000"/>
          <w:sz w:val="24"/>
          <w:szCs w:val="24"/>
          <w:lang w:eastAsia="fi-FI"/>
        </w:rPr>
        <w:t>aged</w:t>
      </w:r>
      <w:proofErr w:type="spellEnd"/>
      <w:r w:rsidRPr="004C16AA">
        <w:rPr>
          <w:rFonts w:ascii="Arial" w:eastAsia="Times New Roman" w:hAnsi="Arial" w:cs="Arial"/>
          <w:color w:val="000000"/>
          <w:sz w:val="24"/>
          <w:szCs w:val="24"/>
          <w:lang w:eastAsia="fi-FI"/>
        </w:rPr>
        <w:t xml:space="preserve"> 16–67</w:t>
      </w:r>
    </w:p>
    <w:p w14:paraId="29D813D3" w14:textId="77777777" w:rsidR="004C16AA" w:rsidRPr="004C16AA" w:rsidRDefault="004C16AA" w:rsidP="004C16AA">
      <w:pPr>
        <w:shd w:val="clear" w:color="auto" w:fill="F7F7F7"/>
        <w:spacing w:after="100" w:afterAutospacing="1" w:line="240" w:lineRule="auto"/>
        <w:rPr>
          <w:rFonts w:ascii="Arial" w:eastAsia="Times New Roman" w:hAnsi="Arial" w:cs="Arial"/>
          <w:color w:val="000000"/>
          <w:sz w:val="24"/>
          <w:szCs w:val="24"/>
          <w:lang w:val="en-US" w:eastAsia="fi-FI"/>
        </w:rPr>
      </w:pPr>
      <w:r w:rsidRPr="004C16AA">
        <w:rPr>
          <w:rFonts w:ascii="Arial" w:eastAsia="Times New Roman" w:hAnsi="Arial" w:cs="Arial"/>
          <w:color w:val="000000"/>
          <w:sz w:val="24"/>
          <w:szCs w:val="24"/>
          <w:lang w:val="en-US" w:eastAsia="fi-FI"/>
        </w:rPr>
        <w:t>Employer’s health insurance contribution is paid to the Tax Administration in conjunction with other self-assessed taxes. Employers do not pay health insurance contributions on salary paid to employees aged under 16 or 68 or over.</w:t>
      </w:r>
    </w:p>
    <w:tbl>
      <w:tblPr>
        <w:tblW w:w="13980" w:type="dxa"/>
        <w:tblCellMar>
          <w:top w:w="15" w:type="dxa"/>
          <w:left w:w="15" w:type="dxa"/>
          <w:bottom w:w="15" w:type="dxa"/>
          <w:right w:w="15" w:type="dxa"/>
        </w:tblCellMar>
        <w:tblLook w:val="04A0" w:firstRow="1" w:lastRow="0" w:firstColumn="1" w:lastColumn="0" w:noHBand="0" w:noVBand="1"/>
      </w:tblPr>
      <w:tblGrid>
        <w:gridCol w:w="11906"/>
        <w:gridCol w:w="2074"/>
      </w:tblGrid>
      <w:tr w:rsidR="004C16AA" w:rsidRPr="004C16AA" w14:paraId="4365EFB9"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17D5C1E" w14:textId="77777777" w:rsidR="004C16AA" w:rsidRPr="004C16AA" w:rsidRDefault="004C16AA" w:rsidP="004C16AA">
            <w:pPr>
              <w:spacing w:after="0" w:line="240" w:lineRule="auto"/>
              <w:rPr>
                <w:rFonts w:ascii="Arial" w:eastAsia="Times New Roman" w:hAnsi="Arial" w:cs="Arial"/>
                <w:color w:val="000000"/>
                <w:sz w:val="24"/>
                <w:szCs w:val="24"/>
                <w:lang w:val="en-US" w:eastAsia="fi-FI"/>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43DC44"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eastAsia="fi-FI"/>
              </w:rPr>
              <w:t>2022</w:t>
            </w:r>
          </w:p>
        </w:tc>
      </w:tr>
      <w:tr w:rsidR="004C16AA" w:rsidRPr="004C16AA" w14:paraId="5C3821DD"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8AA6FF0" w14:textId="77777777" w:rsidR="004C16AA" w:rsidRPr="004C16AA" w:rsidRDefault="004C16AA" w:rsidP="004C16AA">
            <w:pPr>
              <w:spacing w:after="0" w:line="240" w:lineRule="auto"/>
              <w:rPr>
                <w:rFonts w:ascii="Times New Roman" w:eastAsia="Times New Roman" w:hAnsi="Times New Roman" w:cs="Times New Roman"/>
                <w:sz w:val="24"/>
                <w:szCs w:val="24"/>
                <w:lang w:val="en-US" w:eastAsia="fi-FI"/>
              </w:rPr>
            </w:pPr>
            <w:r w:rsidRPr="004C16AA">
              <w:rPr>
                <w:rFonts w:ascii="Times New Roman" w:eastAsia="Times New Roman" w:hAnsi="Times New Roman" w:cs="Times New Roman"/>
                <w:b/>
                <w:bCs/>
                <w:sz w:val="24"/>
                <w:szCs w:val="24"/>
                <w:lang w:val="en-US" w:eastAsia="fi-FI"/>
              </w:rPr>
              <w:lastRenderedPageBreak/>
              <w:t>Private employer’s health insurance contribution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951AF5"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1,34 %</w:t>
            </w:r>
          </w:p>
        </w:tc>
      </w:tr>
    </w:tbl>
    <w:p w14:paraId="7077F4AC" w14:textId="77777777" w:rsidR="004C16AA" w:rsidRPr="004C16AA" w:rsidRDefault="004C16AA" w:rsidP="004C16AA">
      <w:pPr>
        <w:shd w:val="clear" w:color="auto" w:fill="F7F7F7"/>
        <w:spacing w:after="300" w:line="240" w:lineRule="auto"/>
        <w:outlineLvl w:val="1"/>
        <w:rPr>
          <w:rFonts w:ascii="Arial" w:eastAsia="Times New Roman" w:hAnsi="Arial" w:cs="Arial"/>
          <w:b/>
          <w:bCs/>
          <w:color w:val="000000"/>
          <w:sz w:val="36"/>
          <w:szCs w:val="36"/>
          <w:lang w:eastAsia="fi-FI"/>
        </w:rPr>
      </w:pPr>
      <w:proofErr w:type="spellStart"/>
      <w:r w:rsidRPr="004C16AA">
        <w:rPr>
          <w:rFonts w:ascii="Arial" w:eastAsia="Times New Roman" w:hAnsi="Arial" w:cs="Arial"/>
          <w:b/>
          <w:bCs/>
          <w:color w:val="000000"/>
          <w:sz w:val="36"/>
          <w:szCs w:val="36"/>
          <w:lang w:eastAsia="fi-FI"/>
        </w:rPr>
        <w:t>Unemployment</w:t>
      </w:r>
      <w:proofErr w:type="spellEnd"/>
      <w:r w:rsidRPr="004C16AA">
        <w:rPr>
          <w:rFonts w:ascii="Arial" w:eastAsia="Times New Roman" w:hAnsi="Arial" w:cs="Arial"/>
          <w:b/>
          <w:bCs/>
          <w:color w:val="000000"/>
          <w:sz w:val="36"/>
          <w:szCs w:val="36"/>
          <w:lang w:eastAsia="fi-FI"/>
        </w:rPr>
        <w:t xml:space="preserve"> </w:t>
      </w:r>
      <w:proofErr w:type="spellStart"/>
      <w:r w:rsidRPr="004C16AA">
        <w:rPr>
          <w:rFonts w:ascii="Arial" w:eastAsia="Times New Roman" w:hAnsi="Arial" w:cs="Arial"/>
          <w:b/>
          <w:bCs/>
          <w:color w:val="000000"/>
          <w:sz w:val="36"/>
          <w:szCs w:val="36"/>
          <w:lang w:eastAsia="fi-FI"/>
        </w:rPr>
        <w:t>insurance</w:t>
      </w:r>
      <w:proofErr w:type="spellEnd"/>
      <w:r w:rsidRPr="004C16AA">
        <w:rPr>
          <w:rFonts w:ascii="Arial" w:eastAsia="Times New Roman" w:hAnsi="Arial" w:cs="Arial"/>
          <w:b/>
          <w:bCs/>
          <w:color w:val="000000"/>
          <w:sz w:val="36"/>
          <w:szCs w:val="36"/>
          <w:lang w:eastAsia="fi-FI"/>
        </w:rPr>
        <w:t xml:space="preserve"> </w:t>
      </w:r>
      <w:proofErr w:type="spellStart"/>
      <w:r w:rsidRPr="004C16AA">
        <w:rPr>
          <w:rFonts w:ascii="Arial" w:eastAsia="Times New Roman" w:hAnsi="Arial" w:cs="Arial"/>
          <w:b/>
          <w:bCs/>
          <w:color w:val="000000"/>
          <w:sz w:val="36"/>
          <w:szCs w:val="36"/>
          <w:lang w:eastAsia="fi-FI"/>
        </w:rPr>
        <w:t>contributions</w:t>
      </w:r>
      <w:proofErr w:type="spellEnd"/>
    </w:p>
    <w:p w14:paraId="44F25F13" w14:textId="77777777" w:rsidR="004C16AA" w:rsidRPr="004C16AA" w:rsidRDefault="004C16AA" w:rsidP="004C16AA">
      <w:pPr>
        <w:shd w:val="clear" w:color="auto" w:fill="F7F7F7"/>
        <w:spacing w:after="100" w:afterAutospacing="1" w:line="240" w:lineRule="auto"/>
        <w:rPr>
          <w:rFonts w:ascii="Arial" w:eastAsia="Times New Roman" w:hAnsi="Arial" w:cs="Arial"/>
          <w:color w:val="000000"/>
          <w:sz w:val="24"/>
          <w:szCs w:val="24"/>
          <w:lang w:val="en-US" w:eastAsia="fi-FI"/>
        </w:rPr>
      </w:pPr>
      <w:r w:rsidRPr="004C16AA">
        <w:rPr>
          <w:rFonts w:ascii="Arial" w:eastAsia="Times New Roman" w:hAnsi="Arial" w:cs="Arial"/>
          <w:color w:val="000000"/>
          <w:sz w:val="24"/>
          <w:szCs w:val="24"/>
          <w:lang w:val="en-US" w:eastAsia="fi-FI"/>
        </w:rPr>
        <w:t>Unemployment insurance contribution is paid for employees aged 17–64. The lower age limit for unemployment insurance will rise to 18 years on 1 August 2022.</w:t>
      </w:r>
    </w:p>
    <w:tbl>
      <w:tblPr>
        <w:tblW w:w="13980" w:type="dxa"/>
        <w:tblCellMar>
          <w:top w:w="15" w:type="dxa"/>
          <w:left w:w="15" w:type="dxa"/>
          <w:bottom w:w="15" w:type="dxa"/>
          <w:right w:w="15" w:type="dxa"/>
        </w:tblCellMar>
        <w:tblLook w:val="04A0" w:firstRow="1" w:lastRow="0" w:firstColumn="1" w:lastColumn="0" w:noHBand="0" w:noVBand="1"/>
      </w:tblPr>
      <w:tblGrid>
        <w:gridCol w:w="11263"/>
        <w:gridCol w:w="2717"/>
      </w:tblGrid>
      <w:tr w:rsidR="004C16AA" w:rsidRPr="004C16AA" w14:paraId="421E419C"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3627A8" w14:textId="77777777" w:rsidR="004C16AA" w:rsidRPr="004C16AA" w:rsidRDefault="004C16AA" w:rsidP="004C16AA">
            <w:pPr>
              <w:spacing w:after="0" w:line="240" w:lineRule="auto"/>
              <w:rPr>
                <w:rFonts w:ascii="Times New Roman" w:eastAsia="Times New Roman" w:hAnsi="Times New Roman" w:cs="Times New Roman"/>
                <w:sz w:val="24"/>
                <w:szCs w:val="24"/>
                <w:lang w:val="en-US" w:eastAsia="fi-FI"/>
              </w:rPr>
            </w:pPr>
            <w:r w:rsidRPr="004C16AA">
              <w:rPr>
                <w:rFonts w:ascii="Times New Roman" w:eastAsia="Times New Roman" w:hAnsi="Times New Roman" w:cs="Times New Roman"/>
                <w:b/>
                <w:bCs/>
                <w:sz w:val="24"/>
                <w:szCs w:val="24"/>
                <w:lang w:val="en-US" w:eastAsia="fi-FI"/>
              </w:rPr>
              <w:t>For salary expenses up to €2,169,000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59C2402"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eastAsia="fi-FI"/>
              </w:rPr>
              <w:t>2022</w:t>
            </w:r>
          </w:p>
        </w:tc>
      </w:tr>
      <w:tr w:rsidR="004C16AA" w:rsidRPr="004C16AA" w14:paraId="060E1B7F"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DC7D232"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proofErr w:type="spellStart"/>
            <w:r w:rsidRPr="004C16AA">
              <w:rPr>
                <w:rFonts w:ascii="Times New Roman" w:eastAsia="Times New Roman" w:hAnsi="Times New Roman" w:cs="Times New Roman"/>
                <w:sz w:val="24"/>
                <w:szCs w:val="24"/>
                <w:lang w:eastAsia="fi-FI"/>
              </w:rPr>
              <w:t>Employer’s</w:t>
            </w:r>
            <w:proofErr w:type="spellEnd"/>
            <w:r w:rsidRPr="004C16AA">
              <w:rPr>
                <w:rFonts w:ascii="Times New Roman" w:eastAsia="Times New Roman" w:hAnsi="Times New Roman" w:cs="Times New Roman"/>
                <w:sz w:val="24"/>
                <w:szCs w:val="24"/>
                <w:lang w:eastAsia="fi-FI"/>
              </w:rPr>
              <w:t xml:space="preserve"> </w:t>
            </w:r>
            <w:proofErr w:type="spellStart"/>
            <w:r w:rsidRPr="004C16AA">
              <w:rPr>
                <w:rFonts w:ascii="Times New Roman" w:eastAsia="Times New Roman" w:hAnsi="Times New Roman" w:cs="Times New Roman"/>
                <w:sz w:val="24"/>
                <w:szCs w:val="24"/>
                <w:lang w:eastAsia="fi-FI"/>
              </w:rPr>
              <w:t>share</w:t>
            </w:r>
            <w:proofErr w:type="spellEnd"/>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D77772"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0,50 %</w:t>
            </w:r>
          </w:p>
        </w:tc>
      </w:tr>
      <w:tr w:rsidR="004C16AA" w:rsidRPr="004C16AA" w14:paraId="5B501EEC"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6418AC3"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proofErr w:type="spellStart"/>
            <w:r w:rsidRPr="004C16AA">
              <w:rPr>
                <w:rFonts w:ascii="Times New Roman" w:eastAsia="Times New Roman" w:hAnsi="Times New Roman" w:cs="Times New Roman"/>
                <w:sz w:val="24"/>
                <w:szCs w:val="24"/>
                <w:lang w:eastAsia="fi-FI"/>
              </w:rPr>
              <w:t>Employee’s</w:t>
            </w:r>
            <w:proofErr w:type="spellEnd"/>
            <w:r w:rsidRPr="004C16AA">
              <w:rPr>
                <w:rFonts w:ascii="Times New Roman" w:eastAsia="Times New Roman" w:hAnsi="Times New Roman" w:cs="Times New Roman"/>
                <w:sz w:val="24"/>
                <w:szCs w:val="24"/>
                <w:lang w:eastAsia="fi-FI"/>
              </w:rPr>
              <w:t xml:space="preserve"> </w:t>
            </w:r>
            <w:proofErr w:type="spellStart"/>
            <w:r w:rsidRPr="004C16AA">
              <w:rPr>
                <w:rFonts w:ascii="Times New Roman" w:eastAsia="Times New Roman" w:hAnsi="Times New Roman" w:cs="Times New Roman"/>
                <w:sz w:val="24"/>
                <w:szCs w:val="24"/>
                <w:lang w:eastAsia="fi-FI"/>
              </w:rPr>
              <w:t>share</w:t>
            </w:r>
            <w:proofErr w:type="spellEnd"/>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B753A72"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1,50 %</w:t>
            </w:r>
          </w:p>
        </w:tc>
      </w:tr>
      <w:tr w:rsidR="004C16AA" w:rsidRPr="004C16AA" w14:paraId="3C9D840E"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BBF3926"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eastAsia="fi-FI"/>
              </w:rPr>
              <w:t>Total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200327B"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eastAsia="fi-FI"/>
              </w:rPr>
              <w:t>2,00 %</w:t>
            </w:r>
          </w:p>
        </w:tc>
      </w:tr>
    </w:tbl>
    <w:p w14:paraId="01DFF218" w14:textId="77777777" w:rsidR="004C16AA" w:rsidRPr="004C16AA" w:rsidRDefault="004C16AA" w:rsidP="004C16AA">
      <w:pPr>
        <w:shd w:val="clear" w:color="auto" w:fill="FFFFFF"/>
        <w:spacing w:after="0" w:line="240" w:lineRule="auto"/>
        <w:rPr>
          <w:rFonts w:ascii="Arial" w:eastAsia="Times New Roman" w:hAnsi="Arial" w:cs="Arial"/>
          <w:vanish/>
          <w:color w:val="000000"/>
          <w:sz w:val="24"/>
          <w:szCs w:val="24"/>
          <w:lang w:eastAsia="fi-FI"/>
        </w:rPr>
      </w:pPr>
    </w:p>
    <w:tbl>
      <w:tblPr>
        <w:tblW w:w="13980" w:type="dxa"/>
        <w:tblCellMar>
          <w:top w:w="15" w:type="dxa"/>
          <w:left w:w="15" w:type="dxa"/>
          <w:bottom w:w="15" w:type="dxa"/>
          <w:right w:w="15" w:type="dxa"/>
        </w:tblCellMar>
        <w:tblLook w:val="04A0" w:firstRow="1" w:lastRow="0" w:firstColumn="1" w:lastColumn="0" w:noHBand="0" w:noVBand="1"/>
      </w:tblPr>
      <w:tblGrid>
        <w:gridCol w:w="11373"/>
        <w:gridCol w:w="2607"/>
      </w:tblGrid>
      <w:tr w:rsidR="004C16AA" w:rsidRPr="004C16AA" w14:paraId="28B7AB70"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7573081"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eastAsia="fi-FI"/>
              </w:rPr>
              <w:t xml:space="preserve">For </w:t>
            </w:r>
            <w:proofErr w:type="spellStart"/>
            <w:r w:rsidRPr="004C16AA">
              <w:rPr>
                <w:rFonts w:ascii="Times New Roman" w:eastAsia="Times New Roman" w:hAnsi="Times New Roman" w:cs="Times New Roman"/>
                <w:b/>
                <w:bCs/>
                <w:sz w:val="24"/>
                <w:szCs w:val="24"/>
                <w:lang w:eastAsia="fi-FI"/>
              </w:rPr>
              <w:t>the</w:t>
            </w:r>
            <w:proofErr w:type="spellEnd"/>
            <w:r w:rsidRPr="004C16AA">
              <w:rPr>
                <w:rFonts w:ascii="Times New Roman" w:eastAsia="Times New Roman" w:hAnsi="Times New Roman" w:cs="Times New Roman"/>
                <w:b/>
                <w:bCs/>
                <w:sz w:val="24"/>
                <w:szCs w:val="24"/>
                <w:lang w:eastAsia="fi-FI"/>
              </w:rPr>
              <w:t xml:space="preserve"> </w:t>
            </w:r>
            <w:proofErr w:type="spellStart"/>
            <w:r w:rsidRPr="004C16AA">
              <w:rPr>
                <w:rFonts w:ascii="Times New Roman" w:eastAsia="Times New Roman" w:hAnsi="Times New Roman" w:cs="Times New Roman"/>
                <w:b/>
                <w:bCs/>
                <w:sz w:val="24"/>
                <w:szCs w:val="24"/>
                <w:lang w:eastAsia="fi-FI"/>
              </w:rPr>
              <w:t>portion</w:t>
            </w:r>
            <w:proofErr w:type="spellEnd"/>
            <w:r w:rsidRPr="004C16AA">
              <w:rPr>
                <w:rFonts w:ascii="Times New Roman" w:eastAsia="Times New Roman" w:hAnsi="Times New Roman" w:cs="Times New Roman"/>
                <w:b/>
                <w:bCs/>
                <w:sz w:val="24"/>
                <w:szCs w:val="24"/>
                <w:lang w:eastAsia="fi-FI"/>
              </w:rPr>
              <w:t xml:space="preserve"> </w:t>
            </w:r>
            <w:proofErr w:type="spellStart"/>
            <w:r w:rsidRPr="004C16AA">
              <w:rPr>
                <w:rFonts w:ascii="Times New Roman" w:eastAsia="Times New Roman" w:hAnsi="Times New Roman" w:cs="Times New Roman"/>
                <w:b/>
                <w:bCs/>
                <w:sz w:val="24"/>
                <w:szCs w:val="24"/>
                <w:lang w:eastAsia="fi-FI"/>
              </w:rPr>
              <w:t>exceeding</w:t>
            </w:r>
            <w:proofErr w:type="spellEnd"/>
            <w:r w:rsidRPr="004C16AA">
              <w:rPr>
                <w:rFonts w:ascii="Times New Roman" w:eastAsia="Times New Roman" w:hAnsi="Times New Roman" w:cs="Times New Roman"/>
                <w:b/>
                <w:bCs/>
                <w:sz w:val="24"/>
                <w:szCs w:val="24"/>
                <w:lang w:eastAsia="fi-FI"/>
              </w:rPr>
              <w:t xml:space="preserve"> €2,169,000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6EC77AB"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eastAsia="fi-FI"/>
              </w:rPr>
              <w:t>2022</w:t>
            </w:r>
          </w:p>
        </w:tc>
      </w:tr>
      <w:tr w:rsidR="004C16AA" w:rsidRPr="004C16AA" w14:paraId="394638EB"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38A774"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proofErr w:type="spellStart"/>
            <w:r w:rsidRPr="004C16AA">
              <w:rPr>
                <w:rFonts w:ascii="Times New Roman" w:eastAsia="Times New Roman" w:hAnsi="Times New Roman" w:cs="Times New Roman"/>
                <w:sz w:val="24"/>
                <w:szCs w:val="24"/>
                <w:lang w:eastAsia="fi-FI"/>
              </w:rPr>
              <w:t>Employer’s</w:t>
            </w:r>
            <w:proofErr w:type="spellEnd"/>
            <w:r w:rsidRPr="004C16AA">
              <w:rPr>
                <w:rFonts w:ascii="Times New Roman" w:eastAsia="Times New Roman" w:hAnsi="Times New Roman" w:cs="Times New Roman"/>
                <w:sz w:val="24"/>
                <w:szCs w:val="24"/>
                <w:lang w:eastAsia="fi-FI"/>
              </w:rPr>
              <w:t xml:space="preserve"> </w:t>
            </w:r>
            <w:proofErr w:type="spellStart"/>
            <w:r w:rsidRPr="004C16AA">
              <w:rPr>
                <w:rFonts w:ascii="Times New Roman" w:eastAsia="Times New Roman" w:hAnsi="Times New Roman" w:cs="Times New Roman"/>
                <w:sz w:val="24"/>
                <w:szCs w:val="24"/>
                <w:lang w:eastAsia="fi-FI"/>
              </w:rPr>
              <w:t>share</w:t>
            </w:r>
            <w:proofErr w:type="spellEnd"/>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7CD6B7"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2,05 %</w:t>
            </w:r>
          </w:p>
        </w:tc>
      </w:tr>
      <w:tr w:rsidR="004C16AA" w:rsidRPr="004C16AA" w14:paraId="090BB970"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0274C0"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proofErr w:type="spellStart"/>
            <w:r w:rsidRPr="004C16AA">
              <w:rPr>
                <w:rFonts w:ascii="Times New Roman" w:eastAsia="Times New Roman" w:hAnsi="Times New Roman" w:cs="Times New Roman"/>
                <w:sz w:val="24"/>
                <w:szCs w:val="24"/>
                <w:lang w:eastAsia="fi-FI"/>
              </w:rPr>
              <w:t>Employee’s</w:t>
            </w:r>
            <w:proofErr w:type="spellEnd"/>
            <w:r w:rsidRPr="004C16AA">
              <w:rPr>
                <w:rFonts w:ascii="Times New Roman" w:eastAsia="Times New Roman" w:hAnsi="Times New Roman" w:cs="Times New Roman"/>
                <w:sz w:val="24"/>
                <w:szCs w:val="24"/>
                <w:lang w:eastAsia="fi-FI"/>
              </w:rPr>
              <w:t xml:space="preserve"> </w:t>
            </w:r>
            <w:proofErr w:type="spellStart"/>
            <w:r w:rsidRPr="004C16AA">
              <w:rPr>
                <w:rFonts w:ascii="Times New Roman" w:eastAsia="Times New Roman" w:hAnsi="Times New Roman" w:cs="Times New Roman"/>
                <w:sz w:val="24"/>
                <w:szCs w:val="24"/>
                <w:lang w:eastAsia="fi-FI"/>
              </w:rPr>
              <w:t>share</w:t>
            </w:r>
            <w:proofErr w:type="spellEnd"/>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745BA60"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1,50 %</w:t>
            </w:r>
          </w:p>
        </w:tc>
      </w:tr>
      <w:tr w:rsidR="004C16AA" w:rsidRPr="004C16AA" w14:paraId="09134398"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1D5B8E2"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eastAsia="fi-FI"/>
              </w:rPr>
              <w:t>Total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F227C9D"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3,55 %</w:t>
            </w:r>
          </w:p>
        </w:tc>
      </w:tr>
    </w:tbl>
    <w:p w14:paraId="4314C64E" w14:textId="77777777" w:rsidR="004C16AA" w:rsidRPr="004C16AA" w:rsidRDefault="004C16AA" w:rsidP="004C16AA">
      <w:pPr>
        <w:shd w:val="clear" w:color="auto" w:fill="FFFFFF"/>
        <w:spacing w:after="0" w:line="240" w:lineRule="auto"/>
        <w:rPr>
          <w:rFonts w:ascii="Arial" w:eastAsia="Times New Roman" w:hAnsi="Arial" w:cs="Arial"/>
          <w:vanish/>
          <w:color w:val="000000"/>
          <w:sz w:val="24"/>
          <w:szCs w:val="24"/>
          <w:lang w:eastAsia="fi-FI"/>
        </w:rPr>
      </w:pPr>
    </w:p>
    <w:tbl>
      <w:tblPr>
        <w:tblW w:w="13980" w:type="dxa"/>
        <w:tblCellMar>
          <w:top w:w="15" w:type="dxa"/>
          <w:left w:w="15" w:type="dxa"/>
          <w:bottom w:w="15" w:type="dxa"/>
          <w:right w:w="15" w:type="dxa"/>
        </w:tblCellMar>
        <w:tblLook w:val="04A0" w:firstRow="1" w:lastRow="0" w:firstColumn="1" w:lastColumn="0" w:noHBand="0" w:noVBand="1"/>
      </w:tblPr>
      <w:tblGrid>
        <w:gridCol w:w="12595"/>
        <w:gridCol w:w="1385"/>
      </w:tblGrid>
      <w:tr w:rsidR="004C16AA" w:rsidRPr="004C16AA" w14:paraId="21CEC542"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087EFF" w14:textId="77777777" w:rsidR="004C16AA" w:rsidRPr="004C16AA" w:rsidRDefault="004C16AA" w:rsidP="004C16AA">
            <w:pPr>
              <w:spacing w:after="0" w:line="240" w:lineRule="auto"/>
              <w:rPr>
                <w:rFonts w:ascii="Times New Roman" w:eastAsia="Times New Roman" w:hAnsi="Times New Roman" w:cs="Times New Roman"/>
                <w:sz w:val="24"/>
                <w:szCs w:val="24"/>
                <w:lang w:val="en-US" w:eastAsia="fi-FI"/>
              </w:rPr>
            </w:pPr>
            <w:r w:rsidRPr="004C16AA">
              <w:rPr>
                <w:rFonts w:ascii="Times New Roman" w:eastAsia="Times New Roman" w:hAnsi="Times New Roman" w:cs="Times New Roman"/>
                <w:b/>
                <w:bCs/>
                <w:sz w:val="24"/>
                <w:szCs w:val="24"/>
                <w:lang w:val="en-US" w:eastAsia="fi-FI"/>
              </w:rPr>
              <w:t xml:space="preserve">For salary paid to a co-owner covered by </w:t>
            </w:r>
            <w:proofErr w:type="spellStart"/>
            <w:r w:rsidRPr="004C16AA">
              <w:rPr>
                <w:rFonts w:ascii="Times New Roman" w:eastAsia="Times New Roman" w:hAnsi="Times New Roman" w:cs="Times New Roman"/>
                <w:b/>
                <w:bCs/>
                <w:sz w:val="24"/>
                <w:szCs w:val="24"/>
                <w:lang w:val="en-US" w:eastAsia="fi-FI"/>
              </w:rPr>
              <w:t>TyEL</w:t>
            </w:r>
            <w:proofErr w:type="spellEnd"/>
            <w:r w:rsidRPr="004C16AA">
              <w:rPr>
                <w:rFonts w:ascii="Times New Roman" w:eastAsia="Times New Roman" w:hAnsi="Times New Roman" w:cs="Times New Roman"/>
                <w:b/>
                <w:bCs/>
                <w:sz w:val="24"/>
                <w:szCs w:val="24"/>
                <w:lang w:val="en-US" w:eastAsia="fi-FI"/>
              </w:rPr>
              <w:t xml:space="preserve"> occupational pension insurance</w:t>
            </w:r>
            <w:r w:rsidRPr="004C16AA">
              <w:rPr>
                <w:rFonts w:ascii="Times New Roman" w:eastAsia="Times New Roman" w:hAnsi="Times New Roman" w:cs="Times New Roman"/>
                <w:b/>
                <w:bCs/>
                <w:sz w:val="24"/>
                <w:szCs w:val="24"/>
                <w:lang w:val="en-US" w:eastAsia="fi-FI"/>
              </w:rPr>
              <w:br/>
            </w:r>
            <w:r w:rsidRPr="004C16AA">
              <w:rPr>
                <w:rFonts w:ascii="Times New Roman" w:eastAsia="Times New Roman" w:hAnsi="Times New Roman" w:cs="Times New Roman"/>
                <w:sz w:val="24"/>
                <w:szCs w:val="24"/>
                <w:lang w:val="en-US" w:eastAsia="fi-FI"/>
              </w:rPr>
              <w:t>Not deducted from entrepreneurs with mandatory YEL pension insurance</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3FCBC40"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eastAsia="fi-FI"/>
              </w:rPr>
              <w:t>2022</w:t>
            </w:r>
          </w:p>
        </w:tc>
      </w:tr>
      <w:tr w:rsidR="004C16AA" w:rsidRPr="004C16AA" w14:paraId="58640B26"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723EEF"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proofErr w:type="spellStart"/>
            <w:r w:rsidRPr="004C16AA">
              <w:rPr>
                <w:rFonts w:ascii="Times New Roman" w:eastAsia="Times New Roman" w:hAnsi="Times New Roman" w:cs="Times New Roman"/>
                <w:sz w:val="24"/>
                <w:szCs w:val="24"/>
                <w:lang w:eastAsia="fi-FI"/>
              </w:rPr>
              <w:t>Employer’s</w:t>
            </w:r>
            <w:proofErr w:type="spellEnd"/>
            <w:r w:rsidRPr="004C16AA">
              <w:rPr>
                <w:rFonts w:ascii="Times New Roman" w:eastAsia="Times New Roman" w:hAnsi="Times New Roman" w:cs="Times New Roman"/>
                <w:sz w:val="24"/>
                <w:szCs w:val="24"/>
                <w:lang w:eastAsia="fi-FI"/>
              </w:rPr>
              <w:t xml:space="preserve"> </w:t>
            </w:r>
            <w:proofErr w:type="spellStart"/>
            <w:r w:rsidRPr="004C16AA">
              <w:rPr>
                <w:rFonts w:ascii="Times New Roman" w:eastAsia="Times New Roman" w:hAnsi="Times New Roman" w:cs="Times New Roman"/>
                <w:sz w:val="24"/>
                <w:szCs w:val="24"/>
                <w:lang w:eastAsia="fi-FI"/>
              </w:rPr>
              <w:t>share</w:t>
            </w:r>
            <w:proofErr w:type="spellEnd"/>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DE51503"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0,65 %</w:t>
            </w:r>
          </w:p>
        </w:tc>
      </w:tr>
      <w:tr w:rsidR="004C16AA" w:rsidRPr="004C16AA" w14:paraId="59B56A38"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0CA2C6"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proofErr w:type="spellStart"/>
            <w:r w:rsidRPr="004C16AA">
              <w:rPr>
                <w:rFonts w:ascii="Times New Roman" w:eastAsia="Times New Roman" w:hAnsi="Times New Roman" w:cs="Times New Roman"/>
                <w:sz w:val="24"/>
                <w:szCs w:val="24"/>
                <w:lang w:eastAsia="fi-FI"/>
              </w:rPr>
              <w:t>Employee’s</w:t>
            </w:r>
            <w:proofErr w:type="spellEnd"/>
            <w:r w:rsidRPr="004C16AA">
              <w:rPr>
                <w:rFonts w:ascii="Times New Roman" w:eastAsia="Times New Roman" w:hAnsi="Times New Roman" w:cs="Times New Roman"/>
                <w:sz w:val="24"/>
                <w:szCs w:val="24"/>
                <w:lang w:eastAsia="fi-FI"/>
              </w:rPr>
              <w:t xml:space="preserve"> </w:t>
            </w:r>
            <w:proofErr w:type="spellStart"/>
            <w:r w:rsidRPr="004C16AA">
              <w:rPr>
                <w:rFonts w:ascii="Times New Roman" w:eastAsia="Times New Roman" w:hAnsi="Times New Roman" w:cs="Times New Roman"/>
                <w:sz w:val="24"/>
                <w:szCs w:val="24"/>
                <w:lang w:eastAsia="fi-FI"/>
              </w:rPr>
              <w:t>share</w:t>
            </w:r>
            <w:proofErr w:type="spellEnd"/>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CCD43F9"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0,74 %</w:t>
            </w:r>
          </w:p>
        </w:tc>
      </w:tr>
      <w:tr w:rsidR="004C16AA" w:rsidRPr="004C16AA" w14:paraId="0D8FA3A3"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FB8BA1E"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eastAsia="fi-FI"/>
              </w:rPr>
              <w:t>Total</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C8C73A"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1,39 %</w:t>
            </w:r>
          </w:p>
        </w:tc>
      </w:tr>
    </w:tbl>
    <w:p w14:paraId="5A855418" w14:textId="77777777" w:rsidR="004C16AA" w:rsidRPr="004C16AA" w:rsidRDefault="004C16AA" w:rsidP="004C16AA">
      <w:pPr>
        <w:shd w:val="clear" w:color="auto" w:fill="F7F7F7"/>
        <w:spacing w:after="300" w:line="240" w:lineRule="auto"/>
        <w:outlineLvl w:val="1"/>
        <w:rPr>
          <w:rFonts w:ascii="Arial" w:eastAsia="Times New Roman" w:hAnsi="Arial" w:cs="Arial"/>
          <w:b/>
          <w:bCs/>
          <w:color w:val="000000"/>
          <w:sz w:val="36"/>
          <w:szCs w:val="36"/>
          <w:lang w:eastAsia="fi-FI"/>
        </w:rPr>
      </w:pPr>
      <w:proofErr w:type="spellStart"/>
      <w:r w:rsidRPr="004C16AA">
        <w:rPr>
          <w:rFonts w:ascii="Arial" w:eastAsia="Times New Roman" w:hAnsi="Arial" w:cs="Arial"/>
          <w:b/>
          <w:bCs/>
          <w:color w:val="000000"/>
          <w:sz w:val="36"/>
          <w:szCs w:val="36"/>
          <w:lang w:eastAsia="fi-FI"/>
        </w:rPr>
        <w:t>Occupational</w:t>
      </w:r>
      <w:proofErr w:type="spellEnd"/>
      <w:r w:rsidRPr="004C16AA">
        <w:rPr>
          <w:rFonts w:ascii="Arial" w:eastAsia="Times New Roman" w:hAnsi="Arial" w:cs="Arial"/>
          <w:b/>
          <w:bCs/>
          <w:color w:val="000000"/>
          <w:sz w:val="36"/>
          <w:szCs w:val="36"/>
          <w:lang w:eastAsia="fi-FI"/>
        </w:rPr>
        <w:t xml:space="preserve"> </w:t>
      </w:r>
      <w:proofErr w:type="spellStart"/>
      <w:r w:rsidRPr="004C16AA">
        <w:rPr>
          <w:rFonts w:ascii="Arial" w:eastAsia="Times New Roman" w:hAnsi="Arial" w:cs="Arial"/>
          <w:b/>
          <w:bCs/>
          <w:color w:val="000000"/>
          <w:sz w:val="36"/>
          <w:szCs w:val="36"/>
          <w:lang w:eastAsia="fi-FI"/>
        </w:rPr>
        <w:t>accident</w:t>
      </w:r>
      <w:proofErr w:type="spellEnd"/>
      <w:r w:rsidRPr="004C16AA">
        <w:rPr>
          <w:rFonts w:ascii="Arial" w:eastAsia="Times New Roman" w:hAnsi="Arial" w:cs="Arial"/>
          <w:b/>
          <w:bCs/>
          <w:color w:val="000000"/>
          <w:sz w:val="36"/>
          <w:szCs w:val="36"/>
          <w:lang w:eastAsia="fi-FI"/>
        </w:rPr>
        <w:t xml:space="preserve"> </w:t>
      </w:r>
      <w:proofErr w:type="spellStart"/>
      <w:r w:rsidRPr="004C16AA">
        <w:rPr>
          <w:rFonts w:ascii="Arial" w:eastAsia="Times New Roman" w:hAnsi="Arial" w:cs="Arial"/>
          <w:b/>
          <w:bCs/>
          <w:color w:val="000000"/>
          <w:sz w:val="36"/>
          <w:szCs w:val="36"/>
          <w:lang w:eastAsia="fi-FI"/>
        </w:rPr>
        <w:t>insurance</w:t>
      </w:r>
      <w:proofErr w:type="spellEnd"/>
    </w:p>
    <w:tbl>
      <w:tblPr>
        <w:tblW w:w="13980" w:type="dxa"/>
        <w:tblCellMar>
          <w:top w:w="15" w:type="dxa"/>
          <w:left w:w="15" w:type="dxa"/>
          <w:bottom w:w="15" w:type="dxa"/>
          <w:right w:w="15" w:type="dxa"/>
        </w:tblCellMar>
        <w:tblLook w:val="04A0" w:firstRow="1" w:lastRow="0" w:firstColumn="1" w:lastColumn="0" w:noHBand="0" w:noVBand="1"/>
      </w:tblPr>
      <w:tblGrid>
        <w:gridCol w:w="12652"/>
        <w:gridCol w:w="1328"/>
      </w:tblGrid>
      <w:tr w:rsidR="004C16AA" w:rsidRPr="004C16AA" w14:paraId="3BDE3053"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7F7F92E" w14:textId="77777777" w:rsidR="004C16AA" w:rsidRPr="004C16AA" w:rsidRDefault="004C16AA" w:rsidP="004C16AA">
            <w:pPr>
              <w:spacing w:after="0" w:line="240" w:lineRule="auto"/>
              <w:rPr>
                <w:rFonts w:ascii="Arial" w:eastAsia="Times New Roman" w:hAnsi="Arial" w:cs="Arial"/>
                <w:color w:val="000000"/>
                <w:sz w:val="24"/>
                <w:szCs w:val="24"/>
                <w:lang w:eastAsia="fi-FI"/>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1F3919"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eastAsia="fi-FI"/>
              </w:rPr>
              <w:t>2022</w:t>
            </w:r>
          </w:p>
        </w:tc>
      </w:tr>
      <w:tr w:rsidR="004C16AA" w:rsidRPr="004C16AA" w14:paraId="6129611D"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F0BB7D" w14:textId="77777777" w:rsidR="004C16AA" w:rsidRPr="004C16AA" w:rsidRDefault="004C16AA" w:rsidP="004C16AA">
            <w:pPr>
              <w:spacing w:after="0" w:line="240" w:lineRule="auto"/>
              <w:rPr>
                <w:rFonts w:ascii="Times New Roman" w:eastAsia="Times New Roman" w:hAnsi="Times New Roman" w:cs="Times New Roman"/>
                <w:sz w:val="24"/>
                <w:szCs w:val="24"/>
                <w:lang w:val="en-US" w:eastAsia="fi-FI"/>
              </w:rPr>
            </w:pPr>
            <w:r w:rsidRPr="004C16AA">
              <w:rPr>
                <w:rFonts w:ascii="Times New Roman" w:eastAsia="Times New Roman" w:hAnsi="Times New Roman" w:cs="Times New Roman"/>
                <w:b/>
                <w:bCs/>
                <w:sz w:val="24"/>
                <w:szCs w:val="24"/>
                <w:lang w:val="en-US" w:eastAsia="fi-FI"/>
              </w:rPr>
              <w:t>Average</w:t>
            </w:r>
            <w:r w:rsidRPr="004C16AA">
              <w:rPr>
                <w:rFonts w:ascii="Times New Roman" w:eastAsia="Times New Roman" w:hAnsi="Times New Roman" w:cs="Times New Roman"/>
                <w:sz w:val="24"/>
                <w:szCs w:val="24"/>
                <w:lang w:val="en-US" w:eastAsia="fi-FI"/>
              </w:rPr>
              <w:t> occupational accident insurance contribution.</w:t>
            </w:r>
            <w:r w:rsidRPr="004C16AA">
              <w:rPr>
                <w:rFonts w:ascii="Times New Roman" w:eastAsia="Times New Roman" w:hAnsi="Times New Roman" w:cs="Times New Roman"/>
                <w:sz w:val="24"/>
                <w:szCs w:val="24"/>
                <w:lang w:val="en-US" w:eastAsia="fi-FI"/>
              </w:rPr>
              <w:br/>
              <w:t>Mandatory when the employees are paid a total of at least €1,300 during a calendar year.</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F55945D"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0,70 %</w:t>
            </w:r>
          </w:p>
        </w:tc>
      </w:tr>
    </w:tbl>
    <w:p w14:paraId="0B7F919F" w14:textId="77777777" w:rsidR="004C16AA" w:rsidRPr="004C16AA" w:rsidRDefault="004C16AA" w:rsidP="004C16AA">
      <w:pPr>
        <w:shd w:val="clear" w:color="auto" w:fill="F7F7F7"/>
        <w:spacing w:after="300" w:line="240" w:lineRule="auto"/>
        <w:outlineLvl w:val="1"/>
        <w:rPr>
          <w:rFonts w:ascii="Arial" w:eastAsia="Times New Roman" w:hAnsi="Arial" w:cs="Arial"/>
          <w:b/>
          <w:bCs/>
          <w:color w:val="000000"/>
          <w:sz w:val="36"/>
          <w:szCs w:val="36"/>
          <w:lang w:eastAsia="fi-FI"/>
        </w:rPr>
      </w:pPr>
      <w:r w:rsidRPr="004C16AA">
        <w:rPr>
          <w:rFonts w:ascii="Arial" w:eastAsia="Times New Roman" w:hAnsi="Arial" w:cs="Arial"/>
          <w:b/>
          <w:bCs/>
          <w:color w:val="000000"/>
          <w:sz w:val="36"/>
          <w:szCs w:val="36"/>
          <w:lang w:eastAsia="fi-FI"/>
        </w:rPr>
        <w:t xml:space="preserve">Group life </w:t>
      </w:r>
      <w:proofErr w:type="spellStart"/>
      <w:r w:rsidRPr="004C16AA">
        <w:rPr>
          <w:rFonts w:ascii="Arial" w:eastAsia="Times New Roman" w:hAnsi="Arial" w:cs="Arial"/>
          <w:b/>
          <w:bCs/>
          <w:color w:val="000000"/>
          <w:sz w:val="36"/>
          <w:szCs w:val="36"/>
          <w:lang w:eastAsia="fi-FI"/>
        </w:rPr>
        <w:t>insurance</w:t>
      </w:r>
      <w:proofErr w:type="spellEnd"/>
    </w:p>
    <w:tbl>
      <w:tblPr>
        <w:tblW w:w="13980" w:type="dxa"/>
        <w:tblCellMar>
          <w:top w:w="15" w:type="dxa"/>
          <w:left w:w="15" w:type="dxa"/>
          <w:bottom w:w="15" w:type="dxa"/>
          <w:right w:w="15" w:type="dxa"/>
        </w:tblCellMar>
        <w:tblLook w:val="04A0" w:firstRow="1" w:lastRow="0" w:firstColumn="1" w:lastColumn="0" w:noHBand="0" w:noVBand="1"/>
      </w:tblPr>
      <w:tblGrid>
        <w:gridCol w:w="12851"/>
        <w:gridCol w:w="1129"/>
      </w:tblGrid>
      <w:tr w:rsidR="004C16AA" w:rsidRPr="004C16AA" w14:paraId="4E089524"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8022C72" w14:textId="77777777" w:rsidR="004C16AA" w:rsidRPr="004C16AA" w:rsidRDefault="004C16AA" w:rsidP="004C16AA">
            <w:pPr>
              <w:spacing w:after="0" w:line="240" w:lineRule="auto"/>
              <w:rPr>
                <w:rFonts w:ascii="Arial" w:eastAsia="Times New Roman" w:hAnsi="Arial" w:cs="Arial"/>
                <w:color w:val="000000"/>
                <w:sz w:val="24"/>
                <w:szCs w:val="24"/>
                <w:lang w:eastAsia="fi-FI"/>
              </w:rPr>
            </w:pP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6FE748"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eastAsia="fi-FI"/>
              </w:rPr>
              <w:t>2022</w:t>
            </w:r>
          </w:p>
        </w:tc>
      </w:tr>
      <w:tr w:rsidR="004C16AA" w:rsidRPr="004C16AA" w14:paraId="6AADEF35" w14:textId="77777777" w:rsidTr="004C16AA">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A4E53B4"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b/>
                <w:bCs/>
                <w:sz w:val="24"/>
                <w:szCs w:val="24"/>
                <w:lang w:val="en-US" w:eastAsia="fi-FI"/>
              </w:rPr>
              <w:t>Average</w:t>
            </w:r>
            <w:r w:rsidRPr="004C16AA">
              <w:rPr>
                <w:rFonts w:ascii="Times New Roman" w:eastAsia="Times New Roman" w:hAnsi="Times New Roman" w:cs="Times New Roman"/>
                <w:sz w:val="24"/>
                <w:szCs w:val="24"/>
                <w:lang w:val="en-US" w:eastAsia="fi-FI"/>
              </w:rPr>
              <w:t> group life insurance contribution</w:t>
            </w:r>
            <w:r w:rsidRPr="004C16AA">
              <w:rPr>
                <w:rFonts w:ascii="Times New Roman" w:eastAsia="Times New Roman" w:hAnsi="Times New Roman" w:cs="Times New Roman"/>
                <w:sz w:val="24"/>
                <w:szCs w:val="24"/>
                <w:lang w:val="en-US" w:eastAsia="fi-FI"/>
              </w:rPr>
              <w:br/>
              <w:t xml:space="preserve">An accident insurance provider charges this when charging for accident insurance. </w:t>
            </w:r>
            <w:proofErr w:type="spellStart"/>
            <w:r w:rsidRPr="004C16AA">
              <w:rPr>
                <w:rFonts w:ascii="Times New Roman" w:eastAsia="Times New Roman" w:hAnsi="Times New Roman" w:cs="Times New Roman"/>
                <w:sz w:val="24"/>
                <w:szCs w:val="24"/>
                <w:lang w:eastAsia="fi-FI"/>
              </w:rPr>
              <w:t>Rates</w:t>
            </w:r>
            <w:proofErr w:type="spellEnd"/>
            <w:r w:rsidRPr="004C16AA">
              <w:rPr>
                <w:rFonts w:ascii="Times New Roman" w:eastAsia="Times New Roman" w:hAnsi="Times New Roman" w:cs="Times New Roman"/>
                <w:sz w:val="24"/>
                <w:szCs w:val="24"/>
                <w:lang w:eastAsia="fi-FI"/>
              </w:rPr>
              <w:t xml:space="preserve"> </w:t>
            </w:r>
            <w:proofErr w:type="spellStart"/>
            <w:r w:rsidRPr="004C16AA">
              <w:rPr>
                <w:rFonts w:ascii="Times New Roman" w:eastAsia="Times New Roman" w:hAnsi="Times New Roman" w:cs="Times New Roman"/>
                <w:sz w:val="24"/>
                <w:szCs w:val="24"/>
                <w:lang w:eastAsia="fi-FI"/>
              </w:rPr>
              <w:t>vary</w:t>
            </w:r>
            <w:proofErr w:type="spellEnd"/>
            <w:r w:rsidRPr="004C16AA">
              <w:rPr>
                <w:rFonts w:ascii="Times New Roman" w:eastAsia="Times New Roman" w:hAnsi="Times New Roman" w:cs="Times New Roman"/>
                <w:sz w:val="24"/>
                <w:szCs w:val="24"/>
                <w:lang w:eastAsia="fi-FI"/>
              </w:rPr>
              <w:t xml:space="preserve"> </w:t>
            </w:r>
            <w:proofErr w:type="spellStart"/>
            <w:r w:rsidRPr="004C16AA">
              <w:rPr>
                <w:rFonts w:ascii="Times New Roman" w:eastAsia="Times New Roman" w:hAnsi="Times New Roman" w:cs="Times New Roman"/>
                <w:sz w:val="24"/>
                <w:szCs w:val="24"/>
                <w:lang w:eastAsia="fi-FI"/>
              </w:rPr>
              <w:t>by</w:t>
            </w:r>
            <w:proofErr w:type="spellEnd"/>
            <w:r w:rsidRPr="004C16AA">
              <w:rPr>
                <w:rFonts w:ascii="Times New Roman" w:eastAsia="Times New Roman" w:hAnsi="Times New Roman" w:cs="Times New Roman"/>
                <w:sz w:val="24"/>
                <w:szCs w:val="24"/>
                <w:lang w:eastAsia="fi-FI"/>
              </w:rPr>
              <w:t xml:space="preserve"> </w:t>
            </w:r>
            <w:proofErr w:type="spellStart"/>
            <w:r w:rsidRPr="004C16AA">
              <w:rPr>
                <w:rFonts w:ascii="Times New Roman" w:eastAsia="Times New Roman" w:hAnsi="Times New Roman" w:cs="Times New Roman"/>
                <w:sz w:val="24"/>
                <w:szCs w:val="24"/>
                <w:lang w:eastAsia="fi-FI"/>
              </w:rPr>
              <w:t>provider</w:t>
            </w:r>
            <w:proofErr w:type="spellEnd"/>
            <w:r w:rsidRPr="004C16AA">
              <w:rPr>
                <w:rFonts w:ascii="Times New Roman" w:eastAsia="Times New Roman" w:hAnsi="Times New Roman" w:cs="Times New Roman"/>
                <w:sz w:val="24"/>
                <w:szCs w:val="24"/>
                <w:lang w:eastAsia="fi-FI"/>
              </w:rPr>
              <w: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EE011F" w14:textId="77777777" w:rsidR="004C16AA" w:rsidRPr="004C16AA" w:rsidRDefault="004C16AA" w:rsidP="004C16AA">
            <w:pPr>
              <w:spacing w:after="0" w:line="240" w:lineRule="auto"/>
              <w:rPr>
                <w:rFonts w:ascii="Times New Roman" w:eastAsia="Times New Roman" w:hAnsi="Times New Roman" w:cs="Times New Roman"/>
                <w:sz w:val="24"/>
                <w:szCs w:val="24"/>
                <w:lang w:eastAsia="fi-FI"/>
              </w:rPr>
            </w:pPr>
            <w:r w:rsidRPr="004C16AA">
              <w:rPr>
                <w:rFonts w:ascii="Times New Roman" w:eastAsia="Times New Roman" w:hAnsi="Times New Roman" w:cs="Times New Roman"/>
                <w:sz w:val="24"/>
                <w:szCs w:val="24"/>
                <w:lang w:eastAsia="fi-FI"/>
              </w:rPr>
              <w:t>0,06 %</w:t>
            </w:r>
          </w:p>
        </w:tc>
      </w:tr>
    </w:tbl>
    <w:p w14:paraId="1DEB7524" w14:textId="77777777" w:rsidR="0065699D" w:rsidRPr="004C16AA" w:rsidRDefault="0065699D" w:rsidP="004C16AA"/>
    <w:sectPr w:rsidR="0065699D" w:rsidRPr="004C16AA" w:rsidSect="004C16AA">
      <w:pgSz w:w="16838" w:h="11906"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631A3"/>
    <w:multiLevelType w:val="multilevel"/>
    <w:tmpl w:val="E372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276FE"/>
    <w:multiLevelType w:val="multilevel"/>
    <w:tmpl w:val="89E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AA"/>
    <w:rsid w:val="004C16AA"/>
    <w:rsid w:val="00656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D17E"/>
  <w15:chartTrackingRefBased/>
  <w15:docId w15:val="{8312B722-F6C9-4C2D-8AF5-F7C5C01E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4C16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4C16AA"/>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4C16AA"/>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C16AA"/>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4C16AA"/>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4C16AA"/>
    <w:rPr>
      <w:rFonts w:ascii="Times New Roman" w:eastAsia="Times New Roman" w:hAnsi="Times New Roman" w:cs="Times New Roman"/>
      <w:b/>
      <w:bCs/>
      <w:sz w:val="27"/>
      <w:szCs w:val="27"/>
      <w:lang w:eastAsia="fi-FI"/>
    </w:rPr>
  </w:style>
  <w:style w:type="paragraph" w:customStyle="1" w:styleId="gb-ingresscontent">
    <w:name w:val="gb-ingress__content"/>
    <w:basedOn w:val="Normaali"/>
    <w:rsid w:val="004C16A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4C16A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4C16AA"/>
    <w:rPr>
      <w:color w:val="0000FF"/>
      <w:u w:val="single"/>
    </w:rPr>
  </w:style>
  <w:style w:type="character" w:styleId="Voimakas">
    <w:name w:val="Strong"/>
    <w:basedOn w:val="Kappaleenoletusfontti"/>
    <w:uiPriority w:val="22"/>
    <w:qFormat/>
    <w:rsid w:val="004C16AA"/>
    <w:rPr>
      <w:b/>
      <w:bCs/>
    </w:rPr>
  </w:style>
  <w:style w:type="character" w:styleId="Korostus">
    <w:name w:val="Emphasis"/>
    <w:basedOn w:val="Kappaleenoletusfontti"/>
    <w:uiPriority w:val="20"/>
    <w:qFormat/>
    <w:rsid w:val="004C16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94780">
      <w:bodyDiv w:val="1"/>
      <w:marLeft w:val="0"/>
      <w:marRight w:val="0"/>
      <w:marTop w:val="0"/>
      <w:marBottom w:val="0"/>
      <w:divBdr>
        <w:top w:val="none" w:sz="0" w:space="0" w:color="auto"/>
        <w:left w:val="none" w:sz="0" w:space="0" w:color="auto"/>
        <w:bottom w:val="none" w:sz="0" w:space="0" w:color="auto"/>
        <w:right w:val="none" w:sz="0" w:space="0" w:color="auto"/>
      </w:divBdr>
      <w:divsChild>
        <w:div w:id="223758763">
          <w:marLeft w:val="0"/>
          <w:marRight w:val="0"/>
          <w:marTop w:val="0"/>
          <w:marBottom w:val="0"/>
          <w:divBdr>
            <w:top w:val="none" w:sz="0" w:space="0" w:color="auto"/>
            <w:left w:val="none" w:sz="0" w:space="0" w:color="auto"/>
            <w:bottom w:val="none" w:sz="0" w:space="0" w:color="auto"/>
            <w:right w:val="none" w:sz="0" w:space="0" w:color="auto"/>
          </w:divBdr>
        </w:div>
        <w:div w:id="1686857670">
          <w:marLeft w:val="0"/>
          <w:marRight w:val="0"/>
          <w:marTop w:val="0"/>
          <w:marBottom w:val="0"/>
          <w:divBdr>
            <w:top w:val="none" w:sz="0" w:space="0" w:color="auto"/>
            <w:left w:val="none" w:sz="0" w:space="0" w:color="auto"/>
            <w:bottom w:val="none" w:sz="0" w:space="0" w:color="auto"/>
            <w:right w:val="none" w:sz="0" w:space="0" w:color="auto"/>
          </w:divBdr>
          <w:divsChild>
            <w:div w:id="541869555">
              <w:marLeft w:val="0"/>
              <w:marRight w:val="0"/>
              <w:marTop w:val="0"/>
              <w:marBottom w:val="0"/>
              <w:divBdr>
                <w:top w:val="none" w:sz="0" w:space="0" w:color="auto"/>
                <w:left w:val="none" w:sz="0" w:space="0" w:color="auto"/>
                <w:bottom w:val="none" w:sz="0" w:space="0" w:color="auto"/>
                <w:right w:val="none" w:sz="0" w:space="0" w:color="auto"/>
              </w:divBdr>
            </w:div>
          </w:divsChild>
        </w:div>
        <w:div w:id="1240285474">
          <w:marLeft w:val="0"/>
          <w:marRight w:val="0"/>
          <w:marTop w:val="0"/>
          <w:marBottom w:val="0"/>
          <w:divBdr>
            <w:top w:val="none" w:sz="0" w:space="0" w:color="auto"/>
            <w:left w:val="none" w:sz="0" w:space="0" w:color="auto"/>
            <w:bottom w:val="none" w:sz="0" w:space="0" w:color="auto"/>
            <w:right w:val="none" w:sz="0" w:space="0" w:color="auto"/>
          </w:divBdr>
          <w:divsChild>
            <w:div w:id="907105656">
              <w:marLeft w:val="0"/>
              <w:marRight w:val="0"/>
              <w:marTop w:val="0"/>
              <w:marBottom w:val="0"/>
              <w:divBdr>
                <w:top w:val="none" w:sz="0" w:space="0" w:color="auto"/>
                <w:left w:val="none" w:sz="0" w:space="0" w:color="auto"/>
                <w:bottom w:val="none" w:sz="0" w:space="0" w:color="auto"/>
                <w:right w:val="none" w:sz="0" w:space="0" w:color="auto"/>
              </w:divBdr>
            </w:div>
          </w:divsChild>
        </w:div>
        <w:div w:id="599921810">
          <w:marLeft w:val="0"/>
          <w:marRight w:val="0"/>
          <w:marTop w:val="0"/>
          <w:marBottom w:val="0"/>
          <w:divBdr>
            <w:top w:val="none" w:sz="0" w:space="0" w:color="auto"/>
            <w:left w:val="none" w:sz="0" w:space="0" w:color="auto"/>
            <w:bottom w:val="none" w:sz="0" w:space="0" w:color="auto"/>
            <w:right w:val="none" w:sz="0" w:space="0" w:color="auto"/>
          </w:divBdr>
          <w:divsChild>
            <w:div w:id="1145976056">
              <w:marLeft w:val="0"/>
              <w:marRight w:val="0"/>
              <w:marTop w:val="0"/>
              <w:marBottom w:val="0"/>
              <w:divBdr>
                <w:top w:val="none" w:sz="0" w:space="0" w:color="auto"/>
                <w:left w:val="none" w:sz="0" w:space="0" w:color="auto"/>
                <w:bottom w:val="none" w:sz="0" w:space="0" w:color="auto"/>
                <w:right w:val="none" w:sz="0" w:space="0" w:color="auto"/>
              </w:divBdr>
            </w:div>
          </w:divsChild>
        </w:div>
        <w:div w:id="1808206792">
          <w:marLeft w:val="0"/>
          <w:marRight w:val="0"/>
          <w:marTop w:val="0"/>
          <w:marBottom w:val="0"/>
          <w:divBdr>
            <w:top w:val="none" w:sz="0" w:space="0" w:color="auto"/>
            <w:left w:val="none" w:sz="0" w:space="0" w:color="auto"/>
            <w:bottom w:val="none" w:sz="0" w:space="0" w:color="auto"/>
            <w:right w:val="none" w:sz="0" w:space="0" w:color="auto"/>
          </w:divBdr>
          <w:divsChild>
            <w:div w:id="39092139">
              <w:marLeft w:val="0"/>
              <w:marRight w:val="0"/>
              <w:marTop w:val="0"/>
              <w:marBottom w:val="0"/>
              <w:divBdr>
                <w:top w:val="none" w:sz="0" w:space="0" w:color="auto"/>
                <w:left w:val="none" w:sz="0" w:space="0" w:color="auto"/>
                <w:bottom w:val="none" w:sz="0" w:space="0" w:color="auto"/>
                <w:right w:val="none" w:sz="0" w:space="0" w:color="auto"/>
              </w:divBdr>
            </w:div>
          </w:divsChild>
        </w:div>
        <w:div w:id="648753163">
          <w:marLeft w:val="0"/>
          <w:marRight w:val="0"/>
          <w:marTop w:val="0"/>
          <w:marBottom w:val="0"/>
          <w:divBdr>
            <w:top w:val="none" w:sz="0" w:space="0" w:color="auto"/>
            <w:left w:val="none" w:sz="0" w:space="0" w:color="auto"/>
            <w:bottom w:val="none" w:sz="0" w:space="0" w:color="auto"/>
            <w:right w:val="none" w:sz="0" w:space="0" w:color="auto"/>
          </w:divBdr>
          <w:divsChild>
            <w:div w:id="203105330">
              <w:marLeft w:val="0"/>
              <w:marRight w:val="0"/>
              <w:marTop w:val="0"/>
              <w:marBottom w:val="0"/>
              <w:divBdr>
                <w:top w:val="none" w:sz="0" w:space="0" w:color="auto"/>
                <w:left w:val="none" w:sz="0" w:space="0" w:color="auto"/>
                <w:bottom w:val="none" w:sz="0" w:space="0" w:color="auto"/>
                <w:right w:val="none" w:sz="0" w:space="0" w:color="auto"/>
              </w:divBdr>
            </w:div>
          </w:divsChild>
        </w:div>
        <w:div w:id="585572126">
          <w:marLeft w:val="0"/>
          <w:marRight w:val="0"/>
          <w:marTop w:val="0"/>
          <w:marBottom w:val="0"/>
          <w:divBdr>
            <w:top w:val="none" w:sz="0" w:space="0" w:color="auto"/>
            <w:left w:val="none" w:sz="0" w:space="0" w:color="auto"/>
            <w:bottom w:val="none" w:sz="0" w:space="0" w:color="auto"/>
            <w:right w:val="none" w:sz="0" w:space="0" w:color="auto"/>
          </w:divBdr>
        </w:div>
        <w:div w:id="1247378103">
          <w:marLeft w:val="0"/>
          <w:marRight w:val="0"/>
          <w:marTop w:val="0"/>
          <w:marBottom w:val="0"/>
          <w:divBdr>
            <w:top w:val="none" w:sz="0" w:space="0" w:color="auto"/>
            <w:left w:val="none" w:sz="0" w:space="0" w:color="auto"/>
            <w:bottom w:val="none" w:sz="0" w:space="0" w:color="auto"/>
            <w:right w:val="none" w:sz="0" w:space="0" w:color="auto"/>
          </w:divBdr>
        </w:div>
      </w:divsChild>
    </w:div>
    <w:div w:id="2132816756">
      <w:bodyDiv w:val="1"/>
      <w:marLeft w:val="0"/>
      <w:marRight w:val="0"/>
      <w:marTop w:val="0"/>
      <w:marBottom w:val="0"/>
      <w:divBdr>
        <w:top w:val="none" w:sz="0" w:space="0" w:color="auto"/>
        <w:left w:val="none" w:sz="0" w:space="0" w:color="auto"/>
        <w:bottom w:val="none" w:sz="0" w:space="0" w:color="auto"/>
        <w:right w:val="none" w:sz="0" w:space="0" w:color="auto"/>
      </w:divBdr>
      <w:divsChild>
        <w:div w:id="863057092">
          <w:marLeft w:val="0"/>
          <w:marRight w:val="0"/>
          <w:marTop w:val="0"/>
          <w:marBottom w:val="0"/>
          <w:divBdr>
            <w:top w:val="none" w:sz="0" w:space="0" w:color="auto"/>
            <w:left w:val="none" w:sz="0" w:space="0" w:color="auto"/>
            <w:bottom w:val="none" w:sz="0" w:space="0" w:color="auto"/>
            <w:right w:val="none" w:sz="0" w:space="0" w:color="auto"/>
          </w:divBdr>
        </w:div>
        <w:div w:id="393703111">
          <w:marLeft w:val="0"/>
          <w:marRight w:val="0"/>
          <w:marTop w:val="0"/>
          <w:marBottom w:val="0"/>
          <w:divBdr>
            <w:top w:val="none" w:sz="0" w:space="0" w:color="auto"/>
            <w:left w:val="none" w:sz="0" w:space="0" w:color="auto"/>
            <w:bottom w:val="none" w:sz="0" w:space="0" w:color="auto"/>
            <w:right w:val="none" w:sz="0" w:space="0" w:color="auto"/>
          </w:divBdr>
          <w:divsChild>
            <w:div w:id="351567469">
              <w:marLeft w:val="0"/>
              <w:marRight w:val="0"/>
              <w:marTop w:val="0"/>
              <w:marBottom w:val="0"/>
              <w:divBdr>
                <w:top w:val="none" w:sz="0" w:space="0" w:color="auto"/>
                <w:left w:val="none" w:sz="0" w:space="0" w:color="auto"/>
                <w:bottom w:val="none" w:sz="0" w:space="0" w:color="auto"/>
                <w:right w:val="none" w:sz="0" w:space="0" w:color="auto"/>
              </w:divBdr>
            </w:div>
          </w:divsChild>
        </w:div>
        <w:div w:id="279452966">
          <w:marLeft w:val="0"/>
          <w:marRight w:val="0"/>
          <w:marTop w:val="0"/>
          <w:marBottom w:val="0"/>
          <w:divBdr>
            <w:top w:val="none" w:sz="0" w:space="0" w:color="auto"/>
            <w:left w:val="none" w:sz="0" w:space="0" w:color="auto"/>
            <w:bottom w:val="none" w:sz="0" w:space="0" w:color="auto"/>
            <w:right w:val="none" w:sz="0" w:space="0" w:color="auto"/>
          </w:divBdr>
          <w:divsChild>
            <w:div w:id="1715083269">
              <w:marLeft w:val="0"/>
              <w:marRight w:val="0"/>
              <w:marTop w:val="0"/>
              <w:marBottom w:val="0"/>
              <w:divBdr>
                <w:top w:val="none" w:sz="0" w:space="0" w:color="auto"/>
                <w:left w:val="none" w:sz="0" w:space="0" w:color="auto"/>
                <w:bottom w:val="none" w:sz="0" w:space="0" w:color="auto"/>
                <w:right w:val="none" w:sz="0" w:space="0" w:color="auto"/>
              </w:divBdr>
            </w:div>
          </w:divsChild>
        </w:div>
        <w:div w:id="434058457">
          <w:marLeft w:val="0"/>
          <w:marRight w:val="0"/>
          <w:marTop w:val="0"/>
          <w:marBottom w:val="0"/>
          <w:divBdr>
            <w:top w:val="none" w:sz="0" w:space="0" w:color="auto"/>
            <w:left w:val="none" w:sz="0" w:space="0" w:color="auto"/>
            <w:bottom w:val="none" w:sz="0" w:space="0" w:color="auto"/>
            <w:right w:val="none" w:sz="0" w:space="0" w:color="auto"/>
          </w:divBdr>
          <w:divsChild>
            <w:div w:id="1368792313">
              <w:marLeft w:val="0"/>
              <w:marRight w:val="0"/>
              <w:marTop w:val="0"/>
              <w:marBottom w:val="0"/>
              <w:divBdr>
                <w:top w:val="none" w:sz="0" w:space="0" w:color="auto"/>
                <w:left w:val="none" w:sz="0" w:space="0" w:color="auto"/>
                <w:bottom w:val="none" w:sz="0" w:space="0" w:color="auto"/>
                <w:right w:val="none" w:sz="0" w:space="0" w:color="auto"/>
              </w:divBdr>
            </w:div>
          </w:divsChild>
        </w:div>
        <w:div w:id="1301035277">
          <w:marLeft w:val="0"/>
          <w:marRight w:val="0"/>
          <w:marTop w:val="0"/>
          <w:marBottom w:val="0"/>
          <w:divBdr>
            <w:top w:val="none" w:sz="0" w:space="0" w:color="auto"/>
            <w:left w:val="none" w:sz="0" w:space="0" w:color="auto"/>
            <w:bottom w:val="none" w:sz="0" w:space="0" w:color="auto"/>
            <w:right w:val="none" w:sz="0" w:space="0" w:color="auto"/>
          </w:divBdr>
          <w:divsChild>
            <w:div w:id="1895653628">
              <w:marLeft w:val="0"/>
              <w:marRight w:val="0"/>
              <w:marTop w:val="0"/>
              <w:marBottom w:val="0"/>
              <w:divBdr>
                <w:top w:val="none" w:sz="0" w:space="0" w:color="auto"/>
                <w:left w:val="none" w:sz="0" w:space="0" w:color="auto"/>
                <w:bottom w:val="none" w:sz="0" w:space="0" w:color="auto"/>
                <w:right w:val="none" w:sz="0" w:space="0" w:color="auto"/>
              </w:divBdr>
            </w:div>
          </w:divsChild>
        </w:div>
        <w:div w:id="327366743">
          <w:marLeft w:val="0"/>
          <w:marRight w:val="0"/>
          <w:marTop w:val="0"/>
          <w:marBottom w:val="0"/>
          <w:divBdr>
            <w:top w:val="none" w:sz="0" w:space="0" w:color="auto"/>
            <w:left w:val="none" w:sz="0" w:space="0" w:color="auto"/>
            <w:bottom w:val="none" w:sz="0" w:space="0" w:color="auto"/>
            <w:right w:val="none" w:sz="0" w:space="0" w:color="auto"/>
          </w:divBdr>
          <w:divsChild>
            <w:div w:id="2033527044">
              <w:marLeft w:val="0"/>
              <w:marRight w:val="0"/>
              <w:marTop w:val="0"/>
              <w:marBottom w:val="0"/>
              <w:divBdr>
                <w:top w:val="none" w:sz="0" w:space="0" w:color="auto"/>
                <w:left w:val="none" w:sz="0" w:space="0" w:color="auto"/>
                <w:bottom w:val="none" w:sz="0" w:space="0" w:color="auto"/>
                <w:right w:val="none" w:sz="0" w:space="0" w:color="auto"/>
              </w:divBdr>
            </w:div>
          </w:divsChild>
        </w:div>
        <w:div w:id="2142310005">
          <w:marLeft w:val="0"/>
          <w:marRight w:val="0"/>
          <w:marTop w:val="0"/>
          <w:marBottom w:val="0"/>
          <w:divBdr>
            <w:top w:val="none" w:sz="0" w:space="0" w:color="auto"/>
            <w:left w:val="none" w:sz="0" w:space="0" w:color="auto"/>
            <w:bottom w:val="none" w:sz="0" w:space="0" w:color="auto"/>
            <w:right w:val="none" w:sz="0" w:space="0" w:color="auto"/>
          </w:divBdr>
        </w:div>
        <w:div w:id="112893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rittajat.fi/en/for-employers/employment/wages-and-benefits/employers-contributions-2022/" TargetMode="External"/><Relationship Id="rId3" Type="http://schemas.openxmlformats.org/officeDocument/2006/relationships/settings" Target="settings.xml"/><Relationship Id="rId7" Type="http://schemas.openxmlformats.org/officeDocument/2006/relationships/hyperlink" Target="https://www.yrittajat.fi/en/for-employers/employment/wages-and-benefits/employers-contribution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rittajat.fi/en/for-employers/employment/wages-and-benefits/employers-contributions-2022/" TargetMode="External"/><Relationship Id="rId11" Type="http://schemas.openxmlformats.org/officeDocument/2006/relationships/theme" Target="theme/theme1.xml"/><Relationship Id="rId5" Type="http://schemas.openxmlformats.org/officeDocument/2006/relationships/hyperlink" Target="https://www.yrittajat.fi/en/for-employers/employment/wages-and-benefits/employers-contributions-20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rittajat.fi/en/for-employers/employment/wages-and-benefits/employers-contributions-202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487</Words>
  <Characters>3949</Characters>
  <Application>Microsoft Office Word</Application>
  <DocSecurity>0</DocSecurity>
  <Lines>32</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Kinnari</dc:creator>
  <cp:keywords/>
  <dc:description/>
  <cp:lastModifiedBy>Johanna Kinnari</cp:lastModifiedBy>
  <cp:revision>1</cp:revision>
  <dcterms:created xsi:type="dcterms:W3CDTF">2021-12-20T14:47:00Z</dcterms:created>
  <dcterms:modified xsi:type="dcterms:W3CDTF">2021-12-20T14:49:00Z</dcterms:modified>
</cp:coreProperties>
</file>